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"/>
        <w:gridCol w:w="6980"/>
      </w:tblGrid>
      <w:tr w:rsidR="001F3215" w:rsidRPr="000F08EE" w:rsidTr="000F08EE">
        <w:trPr>
          <w:trHeight w:val="1052"/>
          <w:jc w:val="center"/>
        </w:trPr>
        <w:tc>
          <w:tcPr>
            <w:tcW w:w="1002" w:type="dxa"/>
            <w:shd w:val="clear" w:color="auto" w:fill="auto"/>
          </w:tcPr>
          <w:p w:rsidR="001F3215" w:rsidRPr="00175677" w:rsidRDefault="00226324" w:rsidP="00175677">
            <w:pPr>
              <w:pStyle w:val="Style"/>
              <w:spacing w:line="249" w:lineRule="exact"/>
              <w:ind w:right="2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153035</wp:posOffset>
                  </wp:positionV>
                  <wp:extent cx="488950" cy="521335"/>
                  <wp:effectExtent l="0" t="0" r="6350" b="0"/>
                  <wp:wrapTopAndBottom/>
                  <wp:docPr id="2" name="Picture 2" descr="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AB1755" w:rsidRPr="002038E1" w:rsidRDefault="00AB1755" w:rsidP="00175677">
            <w:pPr>
              <w:pStyle w:val="Style"/>
              <w:spacing w:line="249" w:lineRule="exact"/>
              <w:ind w:left="85" w:right="23" w:hanging="13"/>
              <w:jc w:val="center"/>
              <w:rPr>
                <w:caps/>
                <w:sz w:val="32"/>
                <w:szCs w:val="32"/>
                <w:u w:val="single"/>
              </w:rPr>
            </w:pPr>
          </w:p>
          <w:p w:rsidR="001F3215" w:rsidRPr="002038E1" w:rsidRDefault="001F3215" w:rsidP="00777E68">
            <w:pPr>
              <w:pStyle w:val="Style"/>
              <w:ind w:left="85" w:right="23" w:hanging="11"/>
              <w:jc w:val="center"/>
              <w:rPr>
                <w:caps/>
                <w:sz w:val="32"/>
                <w:szCs w:val="32"/>
                <w:u w:val="single"/>
              </w:rPr>
            </w:pPr>
            <w:r w:rsidRPr="002038E1">
              <w:rPr>
                <w:caps/>
                <w:sz w:val="32"/>
                <w:szCs w:val="32"/>
                <w:u w:val="single"/>
              </w:rPr>
              <w:t>Технически университет - Варна</w:t>
            </w:r>
          </w:p>
          <w:p w:rsidR="001F3215" w:rsidRPr="002038E1" w:rsidRDefault="001F3215" w:rsidP="00175677">
            <w:pPr>
              <w:pStyle w:val="Style"/>
              <w:spacing w:line="249" w:lineRule="exact"/>
              <w:ind w:right="23"/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  <w:r w:rsidRPr="001F3215">
        <w:rPr>
          <w:b/>
          <w:caps/>
          <w:sz w:val="48"/>
          <w:szCs w:val="48"/>
        </w:rPr>
        <w:t>ПРАВИЛА</w:t>
      </w: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P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Default="001F3215" w:rsidP="001F3215">
      <w:pPr>
        <w:spacing w:line="360" w:lineRule="auto"/>
        <w:jc w:val="center"/>
        <w:rPr>
          <w:b/>
          <w:caps/>
          <w:sz w:val="32"/>
          <w:szCs w:val="32"/>
        </w:rPr>
      </w:pPr>
      <w:r w:rsidRPr="001F3215">
        <w:rPr>
          <w:b/>
          <w:caps/>
          <w:sz w:val="32"/>
          <w:szCs w:val="32"/>
        </w:rPr>
        <w:t xml:space="preserve">за организиране, провеждане и отчитане </w:t>
      </w:r>
    </w:p>
    <w:p w:rsidR="001F3215" w:rsidRPr="001F3215" w:rsidRDefault="001F3215" w:rsidP="001F3215">
      <w:pPr>
        <w:spacing w:line="360" w:lineRule="auto"/>
        <w:jc w:val="center"/>
        <w:rPr>
          <w:caps/>
          <w:sz w:val="32"/>
          <w:szCs w:val="32"/>
        </w:rPr>
      </w:pPr>
      <w:r w:rsidRPr="001F3215">
        <w:rPr>
          <w:b/>
          <w:caps/>
          <w:sz w:val="32"/>
          <w:szCs w:val="32"/>
        </w:rPr>
        <w:t xml:space="preserve">на вътрешните конкурси за научни изследвания, финансирани целево от държавния  бюджет </w:t>
      </w: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F00798" w:rsidRPr="00A44E6C" w:rsidRDefault="00A44E6C" w:rsidP="00F00798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Варна, 202</w:t>
      </w:r>
      <w:r w:rsidRPr="00A44E6C">
        <w:rPr>
          <w:b/>
          <w:sz w:val="26"/>
          <w:szCs w:val="26"/>
          <w:lang w:val="ru-RU"/>
        </w:rPr>
        <w:t>1</w:t>
      </w:r>
    </w:p>
    <w:p w:rsidR="00163726" w:rsidRPr="00C77D76" w:rsidRDefault="001F3215" w:rsidP="00327C30">
      <w:pPr>
        <w:ind w:firstLine="748"/>
        <w:jc w:val="both"/>
        <w:rPr>
          <w:sz w:val="20"/>
          <w:szCs w:val="20"/>
          <w:lang w:val="ru-RU"/>
        </w:rPr>
      </w:pPr>
      <w:r w:rsidRPr="00BF6D89">
        <w:rPr>
          <w:b/>
          <w:sz w:val="26"/>
          <w:szCs w:val="26"/>
        </w:rPr>
        <w:br w:type="page"/>
      </w:r>
      <w:r w:rsidR="00E859DE" w:rsidRPr="00C77D76">
        <w:rPr>
          <w:sz w:val="20"/>
          <w:szCs w:val="20"/>
          <w:lang w:val="ru-RU"/>
        </w:rPr>
        <w:lastRenderedPageBreak/>
        <w:t xml:space="preserve">1. </w:t>
      </w:r>
      <w:proofErr w:type="spellStart"/>
      <w:r w:rsidR="00E859DE" w:rsidRPr="00C77D76">
        <w:rPr>
          <w:sz w:val="20"/>
          <w:szCs w:val="20"/>
          <w:lang w:val="ru-RU"/>
        </w:rPr>
        <w:t>Вътрешните</w:t>
      </w:r>
      <w:proofErr w:type="spellEnd"/>
      <w:r w:rsidR="00E859DE" w:rsidRPr="00C77D76">
        <w:rPr>
          <w:sz w:val="20"/>
          <w:szCs w:val="20"/>
          <w:lang w:val="ru-RU"/>
        </w:rPr>
        <w:t xml:space="preserve"> </w:t>
      </w:r>
      <w:proofErr w:type="spellStart"/>
      <w:r w:rsidR="00E859DE" w:rsidRPr="00C77D76">
        <w:rPr>
          <w:sz w:val="20"/>
          <w:szCs w:val="20"/>
          <w:lang w:val="ru-RU"/>
        </w:rPr>
        <w:t>конкурси</w:t>
      </w:r>
      <w:proofErr w:type="spellEnd"/>
      <w:r w:rsidR="00E859DE" w:rsidRPr="00C77D76">
        <w:rPr>
          <w:sz w:val="20"/>
          <w:szCs w:val="20"/>
          <w:lang w:val="ru-RU"/>
        </w:rPr>
        <w:t xml:space="preserve"> за </w:t>
      </w:r>
      <w:proofErr w:type="spellStart"/>
      <w:r w:rsidR="00E859DE" w:rsidRPr="00C77D76">
        <w:rPr>
          <w:sz w:val="20"/>
          <w:szCs w:val="20"/>
          <w:lang w:val="ru-RU"/>
        </w:rPr>
        <w:t>присъщата</w:t>
      </w:r>
      <w:proofErr w:type="spellEnd"/>
      <w:r w:rsidR="00E859DE" w:rsidRPr="00C77D76">
        <w:rPr>
          <w:sz w:val="20"/>
          <w:szCs w:val="20"/>
          <w:lang w:val="ru-RU"/>
        </w:rPr>
        <w:t xml:space="preserve"> на </w:t>
      </w:r>
      <w:proofErr w:type="spellStart"/>
      <w:r w:rsidR="00E859DE" w:rsidRPr="00C77D76">
        <w:rPr>
          <w:sz w:val="20"/>
          <w:szCs w:val="20"/>
          <w:lang w:val="ru-RU"/>
        </w:rPr>
        <w:t>висшите</w:t>
      </w:r>
      <w:proofErr w:type="spellEnd"/>
      <w:r w:rsidR="00E859DE" w:rsidRPr="00C77D76">
        <w:rPr>
          <w:sz w:val="20"/>
          <w:szCs w:val="20"/>
          <w:lang w:val="ru-RU"/>
        </w:rPr>
        <w:t xml:space="preserve"> училища научна дейност, </w:t>
      </w:r>
      <w:proofErr w:type="spellStart"/>
      <w:r w:rsidR="00E859DE" w:rsidRPr="00C77D76">
        <w:rPr>
          <w:sz w:val="20"/>
          <w:szCs w:val="20"/>
          <w:lang w:val="ru-RU"/>
        </w:rPr>
        <w:t>финансирани</w:t>
      </w:r>
      <w:proofErr w:type="spellEnd"/>
      <w:r w:rsidR="00E859DE" w:rsidRPr="00C77D76">
        <w:rPr>
          <w:sz w:val="20"/>
          <w:szCs w:val="20"/>
          <w:lang w:val="ru-RU"/>
        </w:rPr>
        <w:t xml:space="preserve"> </w:t>
      </w:r>
      <w:proofErr w:type="spellStart"/>
      <w:r w:rsidR="00E859DE" w:rsidRPr="00C77D76">
        <w:rPr>
          <w:sz w:val="20"/>
          <w:szCs w:val="20"/>
          <w:lang w:val="ru-RU"/>
        </w:rPr>
        <w:t>целево</w:t>
      </w:r>
      <w:proofErr w:type="spellEnd"/>
      <w:r w:rsidR="00E859DE" w:rsidRPr="00C77D76">
        <w:rPr>
          <w:sz w:val="20"/>
          <w:szCs w:val="20"/>
          <w:lang w:val="ru-RU"/>
        </w:rPr>
        <w:t xml:space="preserve"> от </w:t>
      </w:r>
      <w:proofErr w:type="spellStart"/>
      <w:r w:rsidR="00E859DE" w:rsidRPr="00C77D76">
        <w:rPr>
          <w:sz w:val="20"/>
          <w:szCs w:val="20"/>
          <w:lang w:val="ru-RU"/>
        </w:rPr>
        <w:t>държавния</w:t>
      </w:r>
      <w:proofErr w:type="spellEnd"/>
      <w:r w:rsidR="00E859DE" w:rsidRPr="00C77D76">
        <w:rPr>
          <w:sz w:val="20"/>
          <w:szCs w:val="20"/>
          <w:lang w:val="ru-RU"/>
        </w:rPr>
        <w:t xml:space="preserve"> бюджет, се </w:t>
      </w:r>
      <w:proofErr w:type="spellStart"/>
      <w:r w:rsidR="00E859DE" w:rsidRPr="00C77D76">
        <w:rPr>
          <w:sz w:val="20"/>
          <w:szCs w:val="20"/>
          <w:lang w:val="ru-RU"/>
        </w:rPr>
        <w:t>организират</w:t>
      </w:r>
      <w:proofErr w:type="spellEnd"/>
      <w:r w:rsidR="00E859DE" w:rsidRPr="00C77D76">
        <w:rPr>
          <w:sz w:val="20"/>
          <w:szCs w:val="20"/>
          <w:lang w:val="ru-RU"/>
        </w:rPr>
        <w:t xml:space="preserve">, </w:t>
      </w:r>
      <w:proofErr w:type="spellStart"/>
      <w:r w:rsidR="00E859DE" w:rsidRPr="00C77D76">
        <w:rPr>
          <w:sz w:val="20"/>
          <w:szCs w:val="20"/>
          <w:lang w:val="ru-RU"/>
        </w:rPr>
        <w:t>провеждат</w:t>
      </w:r>
      <w:proofErr w:type="spellEnd"/>
      <w:r w:rsidR="00E859DE" w:rsidRPr="00C77D76">
        <w:rPr>
          <w:sz w:val="20"/>
          <w:szCs w:val="20"/>
          <w:lang w:val="ru-RU"/>
        </w:rPr>
        <w:t xml:space="preserve"> и </w:t>
      </w:r>
      <w:proofErr w:type="spellStart"/>
      <w:r w:rsidR="00E859DE" w:rsidRPr="00C77D76">
        <w:rPr>
          <w:sz w:val="20"/>
          <w:szCs w:val="20"/>
          <w:lang w:val="ru-RU"/>
        </w:rPr>
        <w:t>отчитат</w:t>
      </w:r>
      <w:proofErr w:type="spellEnd"/>
      <w:r w:rsidR="00E859DE" w:rsidRPr="00C77D76">
        <w:rPr>
          <w:sz w:val="20"/>
          <w:szCs w:val="20"/>
          <w:lang w:val="ru-RU"/>
        </w:rPr>
        <w:t xml:space="preserve"> в </w:t>
      </w:r>
      <w:proofErr w:type="spellStart"/>
      <w:r w:rsidR="00E859DE" w:rsidRPr="00C77D76">
        <w:rPr>
          <w:sz w:val="20"/>
          <w:szCs w:val="20"/>
          <w:lang w:val="ru-RU"/>
        </w:rPr>
        <w:t>съответствие</w:t>
      </w:r>
      <w:proofErr w:type="spellEnd"/>
      <w:r w:rsidR="00E859DE" w:rsidRPr="00C77D76">
        <w:rPr>
          <w:sz w:val="20"/>
          <w:szCs w:val="20"/>
          <w:lang w:val="ru-RU"/>
        </w:rPr>
        <w:t xml:space="preserve"> с </w:t>
      </w:r>
      <w:proofErr w:type="spellStart"/>
      <w:r w:rsidR="00E859DE" w:rsidRPr="00C77D76">
        <w:rPr>
          <w:sz w:val="20"/>
          <w:szCs w:val="20"/>
          <w:lang w:val="ru-RU"/>
        </w:rPr>
        <w:t>Наредба</w:t>
      </w:r>
      <w:proofErr w:type="spellEnd"/>
      <w:r w:rsidR="00232FE7" w:rsidRPr="00C77D76">
        <w:rPr>
          <w:sz w:val="20"/>
          <w:szCs w:val="20"/>
        </w:rPr>
        <w:t>та</w:t>
      </w:r>
      <w:r w:rsidR="00E859DE" w:rsidRPr="00C77D76">
        <w:rPr>
          <w:sz w:val="20"/>
          <w:szCs w:val="20"/>
          <w:lang w:val="ru-RU"/>
        </w:rPr>
        <w:t xml:space="preserve"> на МОН</w:t>
      </w:r>
      <w:r w:rsidR="00232FE7" w:rsidRPr="00C77D76">
        <w:rPr>
          <w:sz w:val="20"/>
          <w:szCs w:val="20"/>
          <w:lang w:val="ru-RU"/>
        </w:rPr>
        <w:t xml:space="preserve"> от 16.09.2016г.</w:t>
      </w:r>
      <w:r w:rsidR="00E859DE" w:rsidRPr="00C77D76">
        <w:rPr>
          <w:sz w:val="20"/>
          <w:szCs w:val="20"/>
          <w:lang w:val="ru-RU"/>
        </w:rPr>
        <w:t xml:space="preserve">, </w:t>
      </w:r>
      <w:proofErr w:type="spellStart"/>
      <w:r w:rsidR="00E859DE" w:rsidRPr="00C77D76">
        <w:rPr>
          <w:sz w:val="20"/>
          <w:szCs w:val="20"/>
          <w:lang w:val="ru-RU"/>
        </w:rPr>
        <w:t>приет</w:t>
      </w:r>
      <w:r w:rsidR="00A44E6C">
        <w:rPr>
          <w:sz w:val="20"/>
          <w:szCs w:val="20"/>
          <w:lang w:val="ru-RU"/>
        </w:rPr>
        <w:t>ата</w:t>
      </w:r>
      <w:proofErr w:type="spellEnd"/>
      <w:r w:rsidR="00E859DE" w:rsidRPr="00C77D76">
        <w:rPr>
          <w:sz w:val="20"/>
          <w:szCs w:val="20"/>
          <w:lang w:val="ru-RU"/>
        </w:rPr>
        <w:t xml:space="preserve"> от </w:t>
      </w:r>
      <w:r w:rsidR="00E859DE" w:rsidRPr="00A44E6C">
        <w:rPr>
          <w:sz w:val="20"/>
          <w:szCs w:val="20"/>
          <w:lang w:val="ru-RU"/>
        </w:rPr>
        <w:t xml:space="preserve">АС </w:t>
      </w:r>
      <w:r w:rsidR="009A70B1" w:rsidRPr="00A44E6C">
        <w:rPr>
          <w:sz w:val="20"/>
          <w:szCs w:val="20"/>
          <w:lang w:val="ru-RU"/>
        </w:rPr>
        <w:t>на</w:t>
      </w:r>
      <w:r w:rsidR="00A44E6C" w:rsidRPr="00A44E6C">
        <w:rPr>
          <w:sz w:val="20"/>
          <w:szCs w:val="20"/>
          <w:lang w:val="ru-RU"/>
        </w:rPr>
        <w:t xml:space="preserve"> </w:t>
      </w:r>
      <w:r w:rsidR="00014426">
        <w:rPr>
          <w:sz w:val="20"/>
          <w:szCs w:val="20"/>
          <w:lang w:val="ru-RU"/>
        </w:rPr>
        <w:t>25.02.2021г.</w:t>
      </w:r>
      <w:r w:rsidR="008F1948" w:rsidRPr="00A44E6C">
        <w:rPr>
          <w:sz w:val="20"/>
          <w:szCs w:val="20"/>
        </w:rPr>
        <w:t xml:space="preserve"> (Протокол №</w:t>
      </w:r>
      <w:r w:rsidR="00A44E6C" w:rsidRPr="00A44E6C">
        <w:rPr>
          <w:sz w:val="20"/>
          <w:szCs w:val="20"/>
        </w:rPr>
        <w:t xml:space="preserve"> </w:t>
      </w:r>
      <w:r w:rsidR="00014426">
        <w:rPr>
          <w:sz w:val="20"/>
          <w:szCs w:val="20"/>
        </w:rPr>
        <w:t>29</w:t>
      </w:r>
      <w:proofErr w:type="gramStart"/>
      <w:r w:rsidR="008F1948" w:rsidRPr="00A44E6C">
        <w:rPr>
          <w:sz w:val="20"/>
          <w:szCs w:val="20"/>
          <w:lang w:val="ru-RU"/>
        </w:rPr>
        <w:t xml:space="preserve"> </w:t>
      </w:r>
      <w:r w:rsidR="00A44E6C" w:rsidRPr="00A44E6C">
        <w:rPr>
          <w:sz w:val="20"/>
          <w:szCs w:val="20"/>
          <w:lang w:val="ru-RU"/>
        </w:rPr>
        <w:t>)</w:t>
      </w:r>
      <w:proofErr w:type="gramEnd"/>
      <w:r w:rsidR="00777E68" w:rsidRPr="00A44E6C">
        <w:rPr>
          <w:sz w:val="20"/>
          <w:szCs w:val="20"/>
        </w:rPr>
        <w:t xml:space="preserve"> </w:t>
      </w:r>
      <w:r w:rsidR="009A70B1">
        <w:rPr>
          <w:sz w:val="20"/>
          <w:szCs w:val="20"/>
          <w:lang w:val="ru-RU"/>
        </w:rPr>
        <w:t>„</w:t>
      </w:r>
      <w:r w:rsidR="00163726" w:rsidRPr="00C77D76">
        <w:rPr>
          <w:sz w:val="20"/>
          <w:szCs w:val="20"/>
          <w:lang w:val="ru-RU"/>
        </w:rPr>
        <w:t xml:space="preserve">Система от показатели за оценка, наблюдение и </w:t>
      </w:r>
      <w:proofErr w:type="spellStart"/>
      <w:r w:rsidR="00163726" w:rsidRPr="00C77D76">
        <w:rPr>
          <w:sz w:val="20"/>
          <w:szCs w:val="20"/>
          <w:lang w:val="ru-RU"/>
        </w:rPr>
        <w:t>отчитане</w:t>
      </w:r>
      <w:proofErr w:type="spellEnd"/>
      <w:r w:rsidR="00163726" w:rsidRPr="00C77D76">
        <w:rPr>
          <w:sz w:val="20"/>
          <w:szCs w:val="20"/>
          <w:lang w:val="ru-RU"/>
        </w:rPr>
        <w:t xml:space="preserve"> на </w:t>
      </w:r>
      <w:proofErr w:type="spellStart"/>
      <w:r w:rsidR="00163726" w:rsidRPr="00C77D76">
        <w:rPr>
          <w:sz w:val="20"/>
          <w:szCs w:val="20"/>
          <w:lang w:val="ru-RU"/>
        </w:rPr>
        <w:t>резултатите</w:t>
      </w:r>
      <w:proofErr w:type="spellEnd"/>
      <w:r w:rsidR="00163726" w:rsidRPr="00C77D76">
        <w:rPr>
          <w:sz w:val="20"/>
          <w:szCs w:val="20"/>
          <w:lang w:val="ru-RU"/>
        </w:rPr>
        <w:t xml:space="preserve"> от конкурса за </w:t>
      </w:r>
      <w:proofErr w:type="spellStart"/>
      <w:r w:rsidR="00163726" w:rsidRPr="00C77D76">
        <w:rPr>
          <w:sz w:val="20"/>
          <w:szCs w:val="20"/>
          <w:lang w:val="ru-RU"/>
        </w:rPr>
        <w:t>научни</w:t>
      </w:r>
      <w:proofErr w:type="spellEnd"/>
      <w:r w:rsidR="00163726" w:rsidRPr="00C77D76">
        <w:rPr>
          <w:sz w:val="20"/>
          <w:szCs w:val="20"/>
          <w:lang w:val="ru-RU"/>
        </w:rPr>
        <w:t xml:space="preserve"> </w:t>
      </w:r>
      <w:proofErr w:type="spellStart"/>
      <w:r w:rsidR="00163726" w:rsidRPr="00C77D76">
        <w:rPr>
          <w:sz w:val="20"/>
          <w:szCs w:val="20"/>
          <w:lang w:val="ru-RU"/>
        </w:rPr>
        <w:t>проекти</w:t>
      </w:r>
      <w:proofErr w:type="spellEnd"/>
      <w:r w:rsidR="00163726" w:rsidRPr="00C77D76">
        <w:rPr>
          <w:sz w:val="20"/>
          <w:szCs w:val="20"/>
          <w:lang w:val="ru-RU"/>
        </w:rPr>
        <w:t xml:space="preserve">, </w:t>
      </w:r>
      <w:proofErr w:type="spellStart"/>
      <w:r w:rsidR="00163726" w:rsidRPr="00C77D76">
        <w:rPr>
          <w:sz w:val="20"/>
          <w:szCs w:val="20"/>
          <w:lang w:val="ru-RU"/>
        </w:rPr>
        <w:t>финансирани</w:t>
      </w:r>
      <w:proofErr w:type="spellEnd"/>
      <w:r w:rsidR="00163726" w:rsidRPr="00C77D76">
        <w:rPr>
          <w:sz w:val="20"/>
          <w:szCs w:val="20"/>
          <w:lang w:val="ru-RU"/>
        </w:rPr>
        <w:t xml:space="preserve"> </w:t>
      </w:r>
      <w:proofErr w:type="spellStart"/>
      <w:r w:rsidR="00163726" w:rsidRPr="00C77D76">
        <w:rPr>
          <w:sz w:val="20"/>
          <w:szCs w:val="20"/>
          <w:lang w:val="ru-RU"/>
        </w:rPr>
        <w:t>целево</w:t>
      </w:r>
      <w:proofErr w:type="spellEnd"/>
      <w:r w:rsidR="00163726" w:rsidRPr="00C77D76">
        <w:rPr>
          <w:sz w:val="20"/>
          <w:szCs w:val="20"/>
          <w:lang w:val="ru-RU"/>
        </w:rPr>
        <w:t xml:space="preserve"> от </w:t>
      </w:r>
      <w:proofErr w:type="spellStart"/>
      <w:r w:rsidR="00163726" w:rsidRPr="00C77D76">
        <w:rPr>
          <w:sz w:val="20"/>
          <w:szCs w:val="20"/>
          <w:lang w:val="ru-RU"/>
        </w:rPr>
        <w:t>държавния</w:t>
      </w:r>
      <w:proofErr w:type="spellEnd"/>
      <w:r w:rsidR="00163726" w:rsidRPr="00C77D76">
        <w:rPr>
          <w:sz w:val="20"/>
          <w:szCs w:val="20"/>
          <w:lang w:val="ru-RU"/>
        </w:rPr>
        <w:t xml:space="preserve"> бюджет</w:t>
      </w:r>
      <w:r w:rsidR="00DA75A0" w:rsidRPr="00C77D76">
        <w:rPr>
          <w:sz w:val="20"/>
          <w:szCs w:val="20"/>
          <w:lang w:val="ru-RU"/>
        </w:rPr>
        <w:t>”</w:t>
      </w:r>
      <w:r w:rsidR="00163726" w:rsidRPr="00C77D76">
        <w:rPr>
          <w:sz w:val="20"/>
          <w:szCs w:val="20"/>
          <w:lang w:val="ru-RU"/>
        </w:rPr>
        <w:t xml:space="preserve"> </w:t>
      </w:r>
      <w:r w:rsidR="00E859DE" w:rsidRPr="00C77D76">
        <w:rPr>
          <w:sz w:val="20"/>
          <w:szCs w:val="20"/>
          <w:lang w:val="ru-RU"/>
        </w:rPr>
        <w:t xml:space="preserve">и </w:t>
      </w:r>
      <w:proofErr w:type="spellStart"/>
      <w:r w:rsidR="00E859DE" w:rsidRPr="00C77D76">
        <w:rPr>
          <w:sz w:val="20"/>
          <w:szCs w:val="20"/>
          <w:lang w:val="ru-RU"/>
        </w:rPr>
        <w:t>заповед</w:t>
      </w:r>
      <w:proofErr w:type="spellEnd"/>
      <w:r w:rsidR="00E859DE" w:rsidRPr="00C77D76">
        <w:rPr>
          <w:sz w:val="20"/>
          <w:szCs w:val="20"/>
          <w:lang w:val="ru-RU"/>
        </w:rPr>
        <w:t xml:space="preserve"> на Ректора </w:t>
      </w:r>
      <w:r w:rsidR="00DA75A0" w:rsidRPr="00C77D76">
        <w:rPr>
          <w:sz w:val="20"/>
          <w:szCs w:val="20"/>
          <w:lang w:val="ru-RU"/>
        </w:rPr>
        <w:t xml:space="preserve">за </w:t>
      </w:r>
      <w:proofErr w:type="spellStart"/>
      <w:r w:rsidR="00DA75A0" w:rsidRPr="00C77D76">
        <w:rPr>
          <w:sz w:val="20"/>
          <w:szCs w:val="20"/>
          <w:lang w:val="ru-RU"/>
        </w:rPr>
        <w:t>обявяване</w:t>
      </w:r>
      <w:proofErr w:type="spellEnd"/>
      <w:r w:rsidR="00DA75A0" w:rsidRPr="00C77D76">
        <w:rPr>
          <w:sz w:val="20"/>
          <w:szCs w:val="20"/>
          <w:lang w:val="ru-RU"/>
        </w:rPr>
        <w:t xml:space="preserve"> на </w:t>
      </w:r>
      <w:proofErr w:type="spellStart"/>
      <w:r w:rsidR="00E859DE" w:rsidRPr="00C77D76">
        <w:rPr>
          <w:sz w:val="20"/>
          <w:szCs w:val="20"/>
          <w:lang w:val="ru-RU"/>
        </w:rPr>
        <w:t>вътрешните</w:t>
      </w:r>
      <w:proofErr w:type="spellEnd"/>
      <w:r w:rsidR="00E859DE" w:rsidRPr="00C77D76">
        <w:rPr>
          <w:sz w:val="20"/>
          <w:szCs w:val="20"/>
          <w:lang w:val="ru-RU"/>
        </w:rPr>
        <w:t xml:space="preserve"> </w:t>
      </w:r>
      <w:proofErr w:type="spellStart"/>
      <w:r w:rsidR="00E859DE" w:rsidRPr="00C77D76">
        <w:rPr>
          <w:sz w:val="20"/>
          <w:szCs w:val="20"/>
          <w:lang w:val="ru-RU"/>
        </w:rPr>
        <w:t>конкурси</w:t>
      </w:r>
      <w:proofErr w:type="spellEnd"/>
      <w:r w:rsidR="00E859DE" w:rsidRPr="00C77D76">
        <w:rPr>
          <w:sz w:val="20"/>
          <w:szCs w:val="20"/>
          <w:lang w:val="ru-RU"/>
        </w:rPr>
        <w:t xml:space="preserve"> за </w:t>
      </w:r>
      <w:proofErr w:type="spellStart"/>
      <w:r w:rsidR="00E859DE" w:rsidRPr="00C77D76">
        <w:rPr>
          <w:sz w:val="20"/>
          <w:szCs w:val="20"/>
          <w:lang w:val="ru-RU"/>
        </w:rPr>
        <w:t>научни</w:t>
      </w:r>
      <w:proofErr w:type="spellEnd"/>
      <w:r w:rsidR="00E859DE" w:rsidRPr="00C77D76">
        <w:rPr>
          <w:sz w:val="20"/>
          <w:szCs w:val="20"/>
          <w:lang w:val="ru-RU"/>
        </w:rPr>
        <w:t xml:space="preserve"> </w:t>
      </w:r>
      <w:proofErr w:type="spellStart"/>
      <w:r w:rsidR="00E859DE" w:rsidRPr="00C77D76">
        <w:rPr>
          <w:sz w:val="20"/>
          <w:szCs w:val="20"/>
          <w:lang w:val="ru-RU"/>
        </w:rPr>
        <w:t>изследвания</w:t>
      </w:r>
      <w:proofErr w:type="spellEnd"/>
      <w:r w:rsidR="00E859DE" w:rsidRPr="00C77D76">
        <w:rPr>
          <w:sz w:val="20"/>
          <w:szCs w:val="20"/>
          <w:lang w:val="ru-RU"/>
        </w:rPr>
        <w:t xml:space="preserve"> в </w:t>
      </w:r>
      <w:proofErr w:type="spellStart"/>
      <w:r w:rsidR="00E859DE" w:rsidRPr="00C77D76">
        <w:rPr>
          <w:sz w:val="20"/>
          <w:szCs w:val="20"/>
          <w:lang w:val="ru-RU"/>
        </w:rPr>
        <w:t>звената</w:t>
      </w:r>
      <w:proofErr w:type="spellEnd"/>
      <w:r w:rsidR="00E859DE" w:rsidRPr="00C77D76">
        <w:rPr>
          <w:sz w:val="20"/>
          <w:szCs w:val="20"/>
          <w:lang w:val="ru-RU"/>
        </w:rPr>
        <w:t xml:space="preserve"> на </w:t>
      </w:r>
      <w:proofErr w:type="gramStart"/>
      <w:r w:rsidR="009032FA" w:rsidRPr="00C77D76">
        <w:rPr>
          <w:sz w:val="20"/>
          <w:szCs w:val="20"/>
        </w:rPr>
        <w:t>ТУ-Варна</w:t>
      </w:r>
      <w:proofErr w:type="gramEnd"/>
      <w:r w:rsidR="009032FA">
        <w:rPr>
          <w:sz w:val="20"/>
          <w:szCs w:val="20"/>
        </w:rPr>
        <w:t>.</w:t>
      </w:r>
    </w:p>
    <w:p w:rsidR="008925C1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2.</w:t>
      </w:r>
      <w:r w:rsidRPr="00C77D76">
        <w:rPr>
          <w:sz w:val="20"/>
          <w:szCs w:val="20"/>
        </w:rPr>
        <w:t xml:space="preserve"> В конкурсите за финансиране на проекти могат да </w:t>
      </w:r>
      <w:r w:rsidR="00232FE7" w:rsidRPr="00C77D76">
        <w:rPr>
          <w:sz w:val="20"/>
          <w:szCs w:val="20"/>
        </w:rPr>
        <w:t>участват</w:t>
      </w:r>
      <w:r w:rsidRPr="00C77D76">
        <w:rPr>
          <w:sz w:val="20"/>
          <w:szCs w:val="20"/>
        </w:rPr>
        <w:t xml:space="preserve"> преподаватели </w:t>
      </w:r>
      <w:r w:rsidR="00232FE7" w:rsidRPr="00C77D76">
        <w:rPr>
          <w:sz w:val="20"/>
          <w:szCs w:val="20"/>
        </w:rPr>
        <w:t xml:space="preserve">на основен или допълнителен </w:t>
      </w:r>
      <w:r w:rsidRPr="00C77D76">
        <w:rPr>
          <w:sz w:val="20"/>
          <w:szCs w:val="20"/>
        </w:rPr>
        <w:t>трудов договор в ТУ-Варна, докторанти</w:t>
      </w:r>
      <w:r w:rsidR="00232FE7" w:rsidRPr="00C77D76">
        <w:rPr>
          <w:sz w:val="20"/>
          <w:szCs w:val="20"/>
        </w:rPr>
        <w:t xml:space="preserve">, студенти и колективи от </w:t>
      </w:r>
      <w:r w:rsidRPr="00C77D76">
        <w:rPr>
          <w:sz w:val="20"/>
          <w:szCs w:val="20"/>
        </w:rPr>
        <w:t>Университета, а също така преподаватели, изследователи</w:t>
      </w:r>
      <w:r w:rsidR="00232FE7" w:rsidRPr="00C77D76">
        <w:rPr>
          <w:sz w:val="20"/>
          <w:szCs w:val="20"/>
        </w:rPr>
        <w:t xml:space="preserve"> и</w:t>
      </w:r>
      <w:r w:rsidRPr="00C77D76">
        <w:rPr>
          <w:sz w:val="20"/>
          <w:szCs w:val="20"/>
        </w:rPr>
        <w:t xml:space="preserve"> докторанти от други научни организации и университети. Ръководител на научноизследователския колектив е </w:t>
      </w:r>
      <w:r w:rsidR="00232FE7" w:rsidRPr="00C77D76">
        <w:rPr>
          <w:sz w:val="20"/>
          <w:szCs w:val="20"/>
        </w:rPr>
        <w:t xml:space="preserve">преподавател от ТУ-Варна, притежаващ образователната и научна степен </w:t>
      </w:r>
      <w:r w:rsidR="00A55DF4" w:rsidRPr="00C77D76">
        <w:rPr>
          <w:sz w:val="20"/>
          <w:szCs w:val="20"/>
        </w:rPr>
        <w:t>„</w:t>
      </w:r>
      <w:r w:rsidR="00232FE7" w:rsidRPr="00C77D76">
        <w:rPr>
          <w:sz w:val="20"/>
          <w:szCs w:val="20"/>
        </w:rPr>
        <w:t>доктор“ или заемащ академичната длъжност „доцент“ или „професор“.</w:t>
      </w:r>
    </w:p>
    <w:p w:rsidR="00E859DE" w:rsidRPr="00C77D76" w:rsidRDefault="008925C1" w:rsidP="00232FE7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3</w:t>
      </w:r>
      <w:r w:rsidR="00E859DE" w:rsidRPr="00C77D76">
        <w:rPr>
          <w:sz w:val="20"/>
          <w:szCs w:val="20"/>
        </w:rPr>
        <w:t xml:space="preserve">. Предложенията за финансиране на проектите се класират </w:t>
      </w:r>
      <w:r w:rsidR="00232FE7" w:rsidRPr="00C77D76">
        <w:rPr>
          <w:sz w:val="20"/>
          <w:szCs w:val="20"/>
        </w:rPr>
        <w:t xml:space="preserve">от </w:t>
      </w:r>
      <w:r w:rsidR="00E859DE" w:rsidRPr="00C77D76">
        <w:rPr>
          <w:sz w:val="20"/>
          <w:szCs w:val="20"/>
        </w:rPr>
        <w:t>Централна конкурсна комисия</w:t>
      </w:r>
      <w:r w:rsidR="00232FE7" w:rsidRPr="00C77D76">
        <w:rPr>
          <w:sz w:val="20"/>
          <w:szCs w:val="20"/>
        </w:rPr>
        <w:t xml:space="preserve"> (ЦКК).</w:t>
      </w:r>
    </w:p>
    <w:p w:rsidR="00232FE7" w:rsidRPr="00C77D76" w:rsidRDefault="00232FE7" w:rsidP="00232FE7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В конкурсната процедура с помощни функции участват конкурсните комисии на основните звена.</w:t>
      </w:r>
    </w:p>
    <w:p w:rsidR="00072CE9" w:rsidRPr="00C77D76" w:rsidRDefault="00232FE7" w:rsidP="00E57B03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К</w:t>
      </w:r>
      <w:r w:rsidR="00072CE9" w:rsidRPr="00C77D76">
        <w:rPr>
          <w:sz w:val="20"/>
          <w:szCs w:val="20"/>
        </w:rPr>
        <w:t>омисии</w:t>
      </w:r>
      <w:r w:rsidRPr="00C77D76">
        <w:rPr>
          <w:sz w:val="20"/>
          <w:szCs w:val="20"/>
        </w:rPr>
        <w:t>те</w:t>
      </w:r>
      <w:r w:rsidR="00072CE9" w:rsidRPr="00C77D76">
        <w:rPr>
          <w:sz w:val="20"/>
          <w:szCs w:val="20"/>
        </w:rPr>
        <w:t xml:space="preserve"> се назначават от Ректора по предложение на съветите на основните звена.</w:t>
      </w:r>
    </w:p>
    <w:p w:rsidR="00E57B03" w:rsidRPr="00C77D76" w:rsidRDefault="00E57B03" w:rsidP="00E57B03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Членовете на комисиите са хабилитирани лица</w:t>
      </w:r>
      <w:r w:rsidR="00A55DF4" w:rsidRPr="00C77D76">
        <w:rPr>
          <w:sz w:val="20"/>
          <w:szCs w:val="20"/>
        </w:rPr>
        <w:t xml:space="preserve"> или</w:t>
      </w:r>
      <w:r w:rsidRPr="00C77D76">
        <w:rPr>
          <w:sz w:val="20"/>
          <w:szCs w:val="20"/>
        </w:rPr>
        <w:t xml:space="preserve"> </w:t>
      </w:r>
      <w:r w:rsidR="00A55DF4" w:rsidRPr="00C77D76">
        <w:rPr>
          <w:sz w:val="20"/>
          <w:szCs w:val="20"/>
        </w:rPr>
        <w:t>п</w:t>
      </w:r>
      <w:r w:rsidRPr="00C77D76">
        <w:rPr>
          <w:sz w:val="20"/>
          <w:szCs w:val="20"/>
        </w:rPr>
        <w:t>о изключение нехабилитирани, притежаващи образователно-научна степен „доктор”.</w:t>
      </w:r>
    </w:p>
    <w:p w:rsidR="00E859DE" w:rsidRPr="00C77D76" w:rsidRDefault="00E57B03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Членовете на </w:t>
      </w:r>
      <w:r w:rsidR="00232FE7" w:rsidRPr="00C77D76">
        <w:rPr>
          <w:sz w:val="20"/>
          <w:szCs w:val="20"/>
        </w:rPr>
        <w:t xml:space="preserve">централната </w:t>
      </w:r>
      <w:r w:rsidR="00E859DE" w:rsidRPr="00C77D76">
        <w:rPr>
          <w:sz w:val="20"/>
          <w:szCs w:val="20"/>
        </w:rPr>
        <w:t>конкурсн</w:t>
      </w:r>
      <w:r w:rsidR="00232FE7" w:rsidRPr="00C77D76">
        <w:rPr>
          <w:sz w:val="20"/>
          <w:szCs w:val="20"/>
        </w:rPr>
        <w:t>а</w:t>
      </w:r>
      <w:r w:rsidR="00E859DE" w:rsidRPr="00C77D76">
        <w:rPr>
          <w:sz w:val="20"/>
          <w:szCs w:val="20"/>
        </w:rPr>
        <w:t xml:space="preserve"> комиси</w:t>
      </w:r>
      <w:r w:rsidR="00232FE7" w:rsidRPr="00C77D76">
        <w:rPr>
          <w:sz w:val="20"/>
          <w:szCs w:val="20"/>
        </w:rPr>
        <w:t>я</w:t>
      </w:r>
      <w:r w:rsidR="00E859DE" w:rsidRPr="00C77D76">
        <w:rPr>
          <w:sz w:val="20"/>
          <w:szCs w:val="20"/>
        </w:rPr>
        <w:t xml:space="preserve"> не могат да </w:t>
      </w:r>
      <w:r w:rsidR="009032FA">
        <w:rPr>
          <w:sz w:val="20"/>
          <w:szCs w:val="20"/>
        </w:rPr>
        <w:t xml:space="preserve">ръководят </w:t>
      </w:r>
      <w:r w:rsidRPr="00C77D76">
        <w:rPr>
          <w:sz w:val="20"/>
          <w:szCs w:val="20"/>
        </w:rPr>
        <w:t xml:space="preserve">и </w:t>
      </w:r>
      <w:r w:rsidR="00E859DE" w:rsidRPr="00C77D76">
        <w:rPr>
          <w:sz w:val="20"/>
          <w:szCs w:val="20"/>
        </w:rPr>
        <w:t>участват в ко</w:t>
      </w:r>
      <w:r w:rsidR="00C562C2" w:rsidRPr="00C77D76">
        <w:rPr>
          <w:sz w:val="20"/>
          <w:szCs w:val="20"/>
        </w:rPr>
        <w:t>лективи на предлаганите проекти (с изключение на проектите в помощ на докторанти)</w:t>
      </w:r>
      <w:r w:rsidR="00F00798" w:rsidRPr="00C77D76">
        <w:rPr>
          <w:sz w:val="20"/>
          <w:szCs w:val="20"/>
        </w:rPr>
        <w:t>, както и да ги рецензират</w:t>
      </w:r>
      <w:r w:rsidR="00C562C2" w:rsidRPr="00C77D76">
        <w:rPr>
          <w:sz w:val="20"/>
          <w:szCs w:val="20"/>
        </w:rPr>
        <w:t>.</w:t>
      </w:r>
    </w:p>
    <w:p w:rsidR="00E859DE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4</w:t>
      </w:r>
      <w:r w:rsidR="00E859DE" w:rsidRPr="00C77D76">
        <w:rPr>
          <w:sz w:val="20"/>
          <w:szCs w:val="20"/>
        </w:rPr>
        <w:t>. Предложенията, както и окончателните отчети на класираните проекти</w:t>
      </w:r>
      <w:r w:rsidR="00AE7EBC" w:rsidRPr="00C77D76">
        <w:rPr>
          <w:sz w:val="20"/>
          <w:szCs w:val="20"/>
        </w:rPr>
        <w:t>,</w:t>
      </w:r>
      <w:r w:rsidR="00E859DE" w:rsidRPr="00C77D76">
        <w:rPr>
          <w:sz w:val="20"/>
          <w:szCs w:val="20"/>
        </w:rPr>
        <w:t xml:space="preserve"> се рецензират от две хабилитирани лица в съответната научна област или близка до нея, които се </w:t>
      </w:r>
      <w:r w:rsidR="00C562C2" w:rsidRPr="00C77D76">
        <w:rPr>
          <w:sz w:val="20"/>
          <w:szCs w:val="20"/>
        </w:rPr>
        <w:t>предлагат</w:t>
      </w:r>
      <w:r w:rsidR="00E859DE" w:rsidRPr="00C77D76">
        <w:rPr>
          <w:sz w:val="20"/>
          <w:szCs w:val="20"/>
        </w:rPr>
        <w:t xml:space="preserve"> </w:t>
      </w:r>
      <w:r w:rsidR="00C562C2" w:rsidRPr="00C77D76">
        <w:rPr>
          <w:sz w:val="20"/>
          <w:szCs w:val="20"/>
        </w:rPr>
        <w:t>от Централната конкурсна комисия.</w:t>
      </w:r>
      <w:r w:rsidR="00E859DE" w:rsidRPr="00C77D76">
        <w:rPr>
          <w:sz w:val="20"/>
          <w:szCs w:val="20"/>
        </w:rPr>
        <w:t xml:space="preserve"> </w:t>
      </w:r>
      <w:r w:rsidR="00232FE7" w:rsidRPr="00C77D76">
        <w:rPr>
          <w:sz w:val="20"/>
          <w:szCs w:val="20"/>
        </w:rPr>
        <w:t xml:space="preserve">Рецензентите на проектите в помощ на докторанти </w:t>
      </w:r>
      <w:r w:rsidR="001C1B46" w:rsidRPr="00C77D76">
        <w:rPr>
          <w:sz w:val="20"/>
          <w:szCs w:val="20"/>
        </w:rPr>
        <w:t xml:space="preserve">и в подкрепа на клубната дейност </w:t>
      </w:r>
      <w:r w:rsidR="00232FE7" w:rsidRPr="00C77D76">
        <w:rPr>
          <w:sz w:val="20"/>
          <w:szCs w:val="20"/>
        </w:rPr>
        <w:t xml:space="preserve">се предлагат от конкурсните комисии на основните звена и се утвърждават от ЦКК. </w:t>
      </w:r>
      <w:r w:rsidRPr="00C77D76">
        <w:rPr>
          <w:sz w:val="20"/>
          <w:szCs w:val="20"/>
        </w:rPr>
        <w:t>Поне един</w:t>
      </w:r>
      <w:r w:rsidR="00E859DE" w:rsidRPr="00C77D76">
        <w:rPr>
          <w:sz w:val="20"/>
          <w:szCs w:val="20"/>
        </w:rPr>
        <w:t xml:space="preserve"> от рецензентите </w:t>
      </w:r>
      <w:r w:rsidRPr="00C77D76">
        <w:rPr>
          <w:sz w:val="20"/>
          <w:szCs w:val="20"/>
        </w:rPr>
        <w:t>не ра</w:t>
      </w:r>
      <w:r w:rsidR="009032FA">
        <w:rPr>
          <w:sz w:val="20"/>
          <w:szCs w:val="20"/>
        </w:rPr>
        <w:t>боти по договор с ТУ–</w:t>
      </w:r>
      <w:r w:rsidR="00E859DE" w:rsidRPr="00C77D76">
        <w:rPr>
          <w:sz w:val="20"/>
          <w:szCs w:val="20"/>
        </w:rPr>
        <w:t>Варна.</w:t>
      </w:r>
      <w:r w:rsidRPr="00C77D76">
        <w:rPr>
          <w:sz w:val="20"/>
          <w:szCs w:val="20"/>
        </w:rPr>
        <w:t xml:space="preserve"> По изключение е</w:t>
      </w:r>
      <w:r w:rsidR="002B0CA2" w:rsidRPr="00C77D76">
        <w:rPr>
          <w:sz w:val="20"/>
          <w:szCs w:val="20"/>
        </w:rPr>
        <w:t xml:space="preserve">дин от рецензентите може да е </w:t>
      </w:r>
      <w:r w:rsidR="00E57B03" w:rsidRPr="00C77D76">
        <w:rPr>
          <w:sz w:val="20"/>
          <w:szCs w:val="20"/>
        </w:rPr>
        <w:t>не</w:t>
      </w:r>
      <w:r w:rsidR="002B0CA2" w:rsidRPr="00C77D76">
        <w:rPr>
          <w:sz w:val="20"/>
          <w:szCs w:val="20"/>
        </w:rPr>
        <w:t>хабилитирано лице,  притежава</w:t>
      </w:r>
      <w:r w:rsidR="00E57B03" w:rsidRPr="00C77D76">
        <w:rPr>
          <w:sz w:val="20"/>
          <w:szCs w:val="20"/>
        </w:rPr>
        <w:t>що</w:t>
      </w:r>
      <w:r w:rsidR="002B0CA2" w:rsidRPr="00C77D76">
        <w:rPr>
          <w:sz w:val="20"/>
          <w:szCs w:val="20"/>
        </w:rPr>
        <w:t xml:space="preserve"> образователно-научната степен </w:t>
      </w:r>
      <w:r w:rsidRPr="00C77D76">
        <w:rPr>
          <w:sz w:val="20"/>
          <w:szCs w:val="20"/>
        </w:rPr>
        <w:t xml:space="preserve"> </w:t>
      </w:r>
      <w:r w:rsidR="002B0CA2" w:rsidRPr="00C77D76">
        <w:rPr>
          <w:sz w:val="20"/>
          <w:szCs w:val="20"/>
        </w:rPr>
        <w:t>„</w:t>
      </w:r>
      <w:r w:rsidRPr="00C77D76">
        <w:rPr>
          <w:sz w:val="20"/>
          <w:szCs w:val="20"/>
        </w:rPr>
        <w:t>доктор</w:t>
      </w:r>
      <w:r w:rsidR="002B0CA2" w:rsidRPr="00C77D76">
        <w:rPr>
          <w:sz w:val="20"/>
          <w:szCs w:val="20"/>
        </w:rPr>
        <w:t>”</w:t>
      </w:r>
      <w:r w:rsidRPr="00C77D76">
        <w:rPr>
          <w:sz w:val="20"/>
          <w:szCs w:val="20"/>
        </w:rPr>
        <w:t>.</w:t>
      </w:r>
      <w:r w:rsidR="00C562C2" w:rsidRPr="00C77D76">
        <w:rPr>
          <w:sz w:val="20"/>
          <w:szCs w:val="20"/>
        </w:rPr>
        <w:t xml:space="preserve"> Не може да бъде рецензент</w:t>
      </w:r>
      <w:r w:rsidR="00232FE7" w:rsidRPr="00C77D76">
        <w:rPr>
          <w:sz w:val="20"/>
          <w:szCs w:val="20"/>
        </w:rPr>
        <w:t>:</w:t>
      </w:r>
      <w:r w:rsidR="00C562C2" w:rsidRPr="00C77D76">
        <w:rPr>
          <w:sz w:val="20"/>
          <w:szCs w:val="20"/>
        </w:rPr>
        <w:t xml:space="preserve"> член на първичното звено (катедра, секция), от което е Ръко</w:t>
      </w:r>
      <w:r w:rsidR="005F7D39" w:rsidRPr="00C77D76">
        <w:rPr>
          <w:sz w:val="20"/>
          <w:szCs w:val="20"/>
        </w:rPr>
        <w:t>водителят на разглеждания проект, а също така</w:t>
      </w:r>
      <w:r w:rsidR="00232FE7" w:rsidRPr="00C77D76">
        <w:rPr>
          <w:sz w:val="20"/>
          <w:szCs w:val="20"/>
        </w:rPr>
        <w:t xml:space="preserve"> преподавател</w:t>
      </w:r>
      <w:r w:rsidR="005F7D39" w:rsidRPr="00C77D76">
        <w:rPr>
          <w:sz w:val="20"/>
          <w:szCs w:val="20"/>
        </w:rPr>
        <w:t xml:space="preserve"> който е ръководител на проект от същия конкурс.</w:t>
      </w:r>
    </w:p>
    <w:p w:rsidR="00F00798" w:rsidRPr="00C77D76" w:rsidRDefault="00F00798" w:rsidP="00E859DE">
      <w:pPr>
        <w:ind w:firstLine="708"/>
        <w:jc w:val="both"/>
        <w:rPr>
          <w:sz w:val="20"/>
          <w:szCs w:val="20"/>
          <w:lang w:val="ru-RU"/>
        </w:rPr>
      </w:pPr>
      <w:r w:rsidRPr="00C77D76">
        <w:rPr>
          <w:sz w:val="20"/>
          <w:szCs w:val="20"/>
          <w:lang w:val="ru-RU"/>
        </w:rPr>
        <w:t xml:space="preserve">5. </w:t>
      </w:r>
      <w:proofErr w:type="spellStart"/>
      <w:r w:rsidRPr="00C77D76">
        <w:rPr>
          <w:sz w:val="20"/>
          <w:szCs w:val="20"/>
          <w:lang w:val="ru-RU"/>
        </w:rPr>
        <w:t>Рецензентите</w:t>
      </w:r>
      <w:proofErr w:type="spellEnd"/>
      <w:r w:rsidRPr="00C77D76">
        <w:rPr>
          <w:sz w:val="20"/>
          <w:szCs w:val="20"/>
          <w:lang w:val="ru-RU"/>
        </w:rPr>
        <w:t xml:space="preserve"> </w:t>
      </w:r>
      <w:proofErr w:type="spellStart"/>
      <w:r w:rsidRPr="00C77D76">
        <w:rPr>
          <w:sz w:val="20"/>
          <w:szCs w:val="20"/>
          <w:lang w:val="ru-RU"/>
        </w:rPr>
        <w:t>депозират</w:t>
      </w:r>
      <w:proofErr w:type="spellEnd"/>
      <w:r w:rsidRPr="00C77D76">
        <w:rPr>
          <w:sz w:val="20"/>
          <w:szCs w:val="20"/>
          <w:lang w:val="ru-RU"/>
        </w:rPr>
        <w:t xml:space="preserve"> </w:t>
      </w:r>
      <w:proofErr w:type="spellStart"/>
      <w:r w:rsidRPr="00C77D76">
        <w:rPr>
          <w:sz w:val="20"/>
          <w:szCs w:val="20"/>
          <w:lang w:val="ru-RU"/>
        </w:rPr>
        <w:t>рецензиите</w:t>
      </w:r>
      <w:proofErr w:type="spellEnd"/>
      <w:r w:rsidRPr="00C77D76">
        <w:rPr>
          <w:sz w:val="20"/>
          <w:szCs w:val="20"/>
          <w:lang w:val="ru-RU"/>
        </w:rPr>
        <w:t xml:space="preserve"> в срок до 10 дни от </w:t>
      </w:r>
      <w:proofErr w:type="spellStart"/>
      <w:r w:rsidRPr="00C77D76">
        <w:rPr>
          <w:sz w:val="20"/>
          <w:szCs w:val="20"/>
          <w:lang w:val="ru-RU"/>
        </w:rPr>
        <w:t>получаването</w:t>
      </w:r>
      <w:proofErr w:type="spellEnd"/>
      <w:r w:rsidRPr="00C77D76">
        <w:rPr>
          <w:sz w:val="20"/>
          <w:szCs w:val="20"/>
          <w:lang w:val="ru-RU"/>
        </w:rPr>
        <w:t xml:space="preserve"> на </w:t>
      </w:r>
      <w:proofErr w:type="spellStart"/>
      <w:r w:rsidRPr="00C77D76">
        <w:rPr>
          <w:sz w:val="20"/>
          <w:szCs w:val="20"/>
          <w:lang w:val="ru-RU"/>
        </w:rPr>
        <w:t>материалите</w:t>
      </w:r>
      <w:proofErr w:type="spellEnd"/>
      <w:r w:rsidRPr="00C77D76">
        <w:rPr>
          <w:sz w:val="20"/>
          <w:szCs w:val="20"/>
          <w:lang w:val="ru-RU"/>
        </w:rPr>
        <w:t xml:space="preserve"> </w:t>
      </w:r>
      <w:proofErr w:type="gramStart"/>
      <w:r w:rsidRPr="00C77D76">
        <w:rPr>
          <w:sz w:val="20"/>
          <w:szCs w:val="20"/>
          <w:lang w:val="ru-RU"/>
        </w:rPr>
        <w:t>за</w:t>
      </w:r>
      <w:proofErr w:type="gramEnd"/>
      <w:r w:rsidRPr="00C77D76">
        <w:rPr>
          <w:sz w:val="20"/>
          <w:szCs w:val="20"/>
          <w:lang w:val="ru-RU"/>
        </w:rPr>
        <w:t xml:space="preserve"> конкурса.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6</w:t>
      </w:r>
      <w:r w:rsidR="00CD014D" w:rsidRPr="00C77D76">
        <w:rPr>
          <w:sz w:val="20"/>
          <w:szCs w:val="20"/>
        </w:rPr>
        <w:t>. Заплащането на рецензентите на предложенията за участие</w:t>
      </w:r>
      <w:r w:rsidRPr="00C77D76">
        <w:rPr>
          <w:sz w:val="20"/>
          <w:szCs w:val="20"/>
        </w:rPr>
        <w:t xml:space="preserve"> в конкурса</w:t>
      </w:r>
      <w:r w:rsidR="00CD014D" w:rsidRPr="00C77D76">
        <w:rPr>
          <w:sz w:val="20"/>
          <w:szCs w:val="20"/>
        </w:rPr>
        <w:t xml:space="preserve"> се извършва със специално предвидени в общата субсидия средства. Средствата за заплащане </w:t>
      </w:r>
      <w:r w:rsidR="001A15D8" w:rsidRPr="00C77D76">
        <w:rPr>
          <w:sz w:val="20"/>
          <w:szCs w:val="20"/>
        </w:rPr>
        <w:t xml:space="preserve">на </w:t>
      </w:r>
      <w:r w:rsidR="00CD014D" w:rsidRPr="00C77D76">
        <w:rPr>
          <w:sz w:val="20"/>
          <w:szCs w:val="20"/>
        </w:rPr>
        <w:t xml:space="preserve">хонорарите </w:t>
      </w:r>
      <w:r w:rsidR="001A15D8" w:rsidRPr="00C77D76">
        <w:rPr>
          <w:sz w:val="20"/>
          <w:szCs w:val="20"/>
        </w:rPr>
        <w:t>з</w:t>
      </w:r>
      <w:r w:rsidR="00CD014D" w:rsidRPr="00C77D76">
        <w:rPr>
          <w:sz w:val="20"/>
          <w:szCs w:val="20"/>
        </w:rPr>
        <w:t>а реценз</w:t>
      </w:r>
      <w:r w:rsidR="001A15D8" w:rsidRPr="00C77D76">
        <w:rPr>
          <w:sz w:val="20"/>
          <w:szCs w:val="20"/>
        </w:rPr>
        <w:t>иит</w:t>
      </w:r>
      <w:r w:rsidRPr="00C77D76">
        <w:rPr>
          <w:sz w:val="20"/>
          <w:szCs w:val="20"/>
        </w:rPr>
        <w:t>е на отчетите</w:t>
      </w:r>
      <w:r w:rsidR="00CD014D" w:rsidRPr="00C77D76">
        <w:rPr>
          <w:sz w:val="20"/>
          <w:szCs w:val="20"/>
        </w:rPr>
        <w:t xml:space="preserve"> на проект</w:t>
      </w:r>
      <w:r w:rsidRPr="00C77D76">
        <w:rPr>
          <w:sz w:val="20"/>
          <w:szCs w:val="20"/>
        </w:rPr>
        <w:t>ите</w:t>
      </w:r>
      <w:r w:rsidR="00CD014D" w:rsidRPr="00C77D76">
        <w:rPr>
          <w:sz w:val="20"/>
          <w:szCs w:val="20"/>
        </w:rPr>
        <w:t xml:space="preserve"> се предвиждат в </w:t>
      </w:r>
      <w:r w:rsidRPr="00C77D76">
        <w:rPr>
          <w:sz w:val="20"/>
          <w:szCs w:val="20"/>
        </w:rPr>
        <w:t>техните</w:t>
      </w:r>
      <w:r w:rsidR="00CD014D" w:rsidRPr="00C77D76">
        <w:rPr>
          <w:sz w:val="20"/>
          <w:szCs w:val="20"/>
        </w:rPr>
        <w:t xml:space="preserve"> план-сметк</w:t>
      </w:r>
      <w:r w:rsidRPr="00C77D76">
        <w:rPr>
          <w:sz w:val="20"/>
          <w:szCs w:val="20"/>
        </w:rPr>
        <w:t>и</w:t>
      </w:r>
      <w:r w:rsidR="00CD014D" w:rsidRPr="00C77D76">
        <w:rPr>
          <w:sz w:val="20"/>
          <w:szCs w:val="20"/>
        </w:rPr>
        <w:t>.</w:t>
      </w:r>
    </w:p>
    <w:p w:rsidR="00F00798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7. Договорите с ръководителите на класираните проекти се сключват в 10 дневен срок след решението на ЦКК за окончателното класиране.</w:t>
      </w:r>
    </w:p>
    <w:p w:rsidR="0010315B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8</w:t>
      </w:r>
      <w:r w:rsidR="00CD014D" w:rsidRPr="00C77D76">
        <w:rPr>
          <w:sz w:val="20"/>
          <w:szCs w:val="20"/>
        </w:rPr>
        <w:t>. По сключените договори не се изплащат възнаграждения на участниците</w:t>
      </w:r>
      <w:r w:rsidR="004F704E" w:rsidRPr="00C77D76">
        <w:rPr>
          <w:sz w:val="20"/>
          <w:szCs w:val="20"/>
        </w:rPr>
        <w:t>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9</w:t>
      </w:r>
      <w:r w:rsidR="004F704E" w:rsidRPr="00C77D76">
        <w:rPr>
          <w:sz w:val="20"/>
          <w:szCs w:val="20"/>
        </w:rPr>
        <w:t xml:space="preserve">. При изработване на стендове, опитни уредби, опитни образци и </w:t>
      </w:r>
      <w:proofErr w:type="spellStart"/>
      <w:r w:rsidR="004F704E" w:rsidRPr="00C77D76">
        <w:rPr>
          <w:sz w:val="20"/>
          <w:szCs w:val="20"/>
        </w:rPr>
        <w:t>комплектация</w:t>
      </w:r>
      <w:proofErr w:type="spellEnd"/>
      <w:r w:rsidR="004F704E" w:rsidRPr="00C77D76">
        <w:rPr>
          <w:sz w:val="20"/>
          <w:szCs w:val="20"/>
        </w:rPr>
        <w:t xml:space="preserve"> за тях, могат да</w:t>
      </w:r>
      <w:r w:rsidR="000254E6" w:rsidRPr="00C77D76">
        <w:rPr>
          <w:sz w:val="20"/>
          <w:szCs w:val="20"/>
        </w:rPr>
        <w:t xml:space="preserve"> </w:t>
      </w:r>
      <w:r w:rsidR="004F704E" w:rsidRPr="00C77D76">
        <w:rPr>
          <w:sz w:val="20"/>
          <w:szCs w:val="20"/>
        </w:rPr>
        <w:t>се ползват, в рамките на 20% от стойността на проекта,</w:t>
      </w:r>
      <w:r w:rsidR="00A44E6C" w:rsidRPr="00A44E6C">
        <w:rPr>
          <w:sz w:val="20"/>
          <w:szCs w:val="20"/>
          <w:lang w:val="ru-RU"/>
        </w:rPr>
        <w:t xml:space="preserve"> “</w:t>
      </w:r>
      <w:r w:rsidR="00A44E6C">
        <w:rPr>
          <w:sz w:val="20"/>
          <w:szCs w:val="20"/>
        </w:rPr>
        <w:t>външни</w:t>
      </w:r>
      <w:r w:rsidR="00A44E6C" w:rsidRPr="00A44E6C">
        <w:rPr>
          <w:sz w:val="20"/>
          <w:szCs w:val="20"/>
          <w:lang w:val="ru-RU"/>
        </w:rPr>
        <w:t>”</w:t>
      </w:r>
      <w:r w:rsidR="004F704E" w:rsidRPr="00C77D76">
        <w:rPr>
          <w:sz w:val="20"/>
          <w:szCs w:val="20"/>
        </w:rPr>
        <w:t xml:space="preserve"> услуги </w:t>
      </w:r>
      <w:r w:rsidR="00A44E6C">
        <w:rPr>
          <w:sz w:val="20"/>
          <w:szCs w:val="20"/>
        </w:rPr>
        <w:t>чрез ВТП или други фирми</w:t>
      </w:r>
      <w:r w:rsidR="00A33EF5" w:rsidRPr="00A33EF5">
        <w:rPr>
          <w:sz w:val="20"/>
          <w:szCs w:val="20"/>
          <w:lang w:val="ru-RU"/>
        </w:rPr>
        <w:t xml:space="preserve"> </w:t>
      </w:r>
      <w:r w:rsidR="00A33EF5">
        <w:rPr>
          <w:sz w:val="20"/>
          <w:szCs w:val="20"/>
        </w:rPr>
        <w:t>и физически лица, неучастващи в</w:t>
      </w:r>
      <w:r w:rsidR="004F704E" w:rsidRPr="00C77D76">
        <w:rPr>
          <w:sz w:val="20"/>
          <w:szCs w:val="20"/>
        </w:rPr>
        <w:t xml:space="preserve"> колектива, разработващ проекта.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10</w:t>
      </w:r>
      <w:r w:rsidR="004F704E" w:rsidRPr="00C77D76">
        <w:rPr>
          <w:sz w:val="20"/>
          <w:szCs w:val="20"/>
        </w:rPr>
        <w:t xml:space="preserve">. Закупуването на материалните активи се извършва в съответствие със Закона за обществените поръчки (ЗОП) и съпътстващите го </w:t>
      </w:r>
      <w:r w:rsidR="001A15D8" w:rsidRPr="00C77D76">
        <w:rPr>
          <w:sz w:val="20"/>
          <w:szCs w:val="20"/>
        </w:rPr>
        <w:t>по</w:t>
      </w:r>
      <w:r w:rsidR="004F704E" w:rsidRPr="00C77D76">
        <w:rPr>
          <w:sz w:val="20"/>
          <w:szCs w:val="20"/>
        </w:rPr>
        <w:t>дзаконови и поднормативни актове в ТУ-Варна, отнесени към  конкретния проект. Доставките се осъществяват по установения в Университета ред.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11</w:t>
      </w:r>
      <w:r w:rsidR="008925C1" w:rsidRPr="00C77D76">
        <w:rPr>
          <w:sz w:val="20"/>
          <w:szCs w:val="20"/>
        </w:rPr>
        <w:t>.</w:t>
      </w:r>
      <w:r w:rsidR="004F704E" w:rsidRPr="00C77D76">
        <w:rPr>
          <w:sz w:val="20"/>
          <w:szCs w:val="20"/>
        </w:rPr>
        <w:t xml:space="preserve"> Със средствата за материални разходи не могат да се закупуват телефонни и мобилни апарати, обзавеждане, битови уреди.</w:t>
      </w:r>
    </w:p>
    <w:p w:rsidR="002B0CA2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12</w:t>
      </w:r>
      <w:r w:rsidR="004F704E" w:rsidRPr="00C77D76">
        <w:rPr>
          <w:sz w:val="20"/>
          <w:szCs w:val="20"/>
        </w:rPr>
        <w:t>. Средствата от проектите не могат да се изразходват</w:t>
      </w:r>
      <w:r w:rsidR="000218C1" w:rsidRPr="00C77D76">
        <w:rPr>
          <w:sz w:val="20"/>
          <w:szCs w:val="20"/>
        </w:rPr>
        <w:t xml:space="preserve"> за заплащане на телефонни и ин</w:t>
      </w:r>
      <w:r w:rsidR="004F704E" w:rsidRPr="00C77D76">
        <w:rPr>
          <w:sz w:val="20"/>
          <w:szCs w:val="20"/>
        </w:rPr>
        <w:t>тернет услуги, ремонт на помещения</w:t>
      </w:r>
      <w:r w:rsidR="002B0CA2" w:rsidRPr="00C77D76">
        <w:rPr>
          <w:sz w:val="20"/>
          <w:szCs w:val="20"/>
        </w:rPr>
        <w:t xml:space="preserve"> (с изключение на инфраструктурните проекти).</w:t>
      </w:r>
      <w:r w:rsidR="004F704E" w:rsidRPr="00C77D76">
        <w:rPr>
          <w:sz w:val="20"/>
          <w:szCs w:val="20"/>
        </w:rPr>
        <w:t xml:space="preserve"> </w:t>
      </w:r>
    </w:p>
    <w:p w:rsidR="004F704E" w:rsidRPr="00C77D76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3</w:t>
      </w:r>
      <w:r w:rsidRPr="00C77D76">
        <w:rPr>
          <w:sz w:val="20"/>
          <w:szCs w:val="20"/>
        </w:rPr>
        <w:t xml:space="preserve">. Средствата за командировки по проекти от всички конкурси, с изключение на конкурса за частично финансиране на индивидуални участия в научни </w:t>
      </w:r>
      <w:r w:rsidR="00AC6DF1" w:rsidRPr="00C77D76">
        <w:rPr>
          <w:sz w:val="20"/>
          <w:szCs w:val="20"/>
        </w:rPr>
        <w:t>прояви (</w:t>
      </w:r>
      <w:r w:rsidRPr="00C77D76">
        <w:rPr>
          <w:sz w:val="20"/>
          <w:szCs w:val="20"/>
        </w:rPr>
        <w:t>форуми</w:t>
      </w:r>
      <w:r w:rsidR="001C1B46" w:rsidRPr="00C77D76">
        <w:rPr>
          <w:sz w:val="20"/>
          <w:szCs w:val="20"/>
        </w:rPr>
        <w:t xml:space="preserve"> и публикации в научни списания</w:t>
      </w:r>
      <w:r w:rsidR="00AC6DF1" w:rsidRPr="00C77D76">
        <w:rPr>
          <w:sz w:val="20"/>
          <w:szCs w:val="20"/>
        </w:rPr>
        <w:t>)</w:t>
      </w:r>
      <w:r w:rsidRPr="00C77D76">
        <w:rPr>
          <w:sz w:val="20"/>
          <w:szCs w:val="20"/>
        </w:rPr>
        <w:t xml:space="preserve"> не могат да надвишават 2</w:t>
      </w:r>
      <w:r w:rsidR="000F08EE" w:rsidRPr="00C77D76">
        <w:rPr>
          <w:sz w:val="20"/>
          <w:szCs w:val="20"/>
        </w:rPr>
        <w:t>5</w:t>
      </w:r>
      <w:r w:rsidRPr="00C77D76">
        <w:rPr>
          <w:sz w:val="20"/>
          <w:szCs w:val="20"/>
        </w:rPr>
        <w:t>% от стойността на проекта</w:t>
      </w:r>
      <w:r w:rsidR="009032FA">
        <w:rPr>
          <w:sz w:val="20"/>
          <w:szCs w:val="20"/>
        </w:rPr>
        <w:t xml:space="preserve"> </w:t>
      </w:r>
      <w:r w:rsidR="001C1B46" w:rsidRPr="00C77D76">
        <w:rPr>
          <w:sz w:val="20"/>
          <w:szCs w:val="20"/>
        </w:rPr>
        <w:t xml:space="preserve">(за стартовите </w:t>
      </w:r>
      <w:r w:rsidR="00C65807" w:rsidRPr="00C77D76">
        <w:rPr>
          <w:sz w:val="20"/>
          <w:szCs w:val="20"/>
        </w:rPr>
        <w:t xml:space="preserve">научни </w:t>
      </w:r>
      <w:r w:rsidR="001C1B46" w:rsidRPr="00C77D76">
        <w:rPr>
          <w:sz w:val="20"/>
          <w:szCs w:val="20"/>
        </w:rPr>
        <w:t xml:space="preserve">проекти </w:t>
      </w:r>
      <w:r w:rsidR="00AC6DF1" w:rsidRPr="00C77D76">
        <w:rPr>
          <w:sz w:val="20"/>
          <w:szCs w:val="20"/>
        </w:rPr>
        <w:t>до</w:t>
      </w:r>
      <w:r w:rsidR="001C1B46" w:rsidRPr="00C77D76">
        <w:rPr>
          <w:sz w:val="20"/>
          <w:szCs w:val="20"/>
        </w:rPr>
        <w:t xml:space="preserve"> 30%)</w:t>
      </w:r>
      <w:r w:rsidRPr="00C77D76">
        <w:rPr>
          <w:sz w:val="20"/>
          <w:szCs w:val="20"/>
        </w:rPr>
        <w:t>. Тези средства могат да</w:t>
      </w:r>
      <w:r w:rsidR="000254E6" w:rsidRPr="00C77D76">
        <w:rPr>
          <w:sz w:val="20"/>
          <w:szCs w:val="20"/>
        </w:rPr>
        <w:t xml:space="preserve"> </w:t>
      </w:r>
      <w:r w:rsidRPr="00C77D76">
        <w:rPr>
          <w:sz w:val="20"/>
          <w:szCs w:val="20"/>
        </w:rPr>
        <w:t>се изразходват за</w:t>
      </w:r>
      <w:r w:rsidR="00A55DF4" w:rsidRPr="00C77D76">
        <w:rPr>
          <w:sz w:val="20"/>
          <w:szCs w:val="20"/>
        </w:rPr>
        <w:t>:</w:t>
      </w:r>
      <w:r w:rsidR="002F043D" w:rsidRPr="00C77D76">
        <w:rPr>
          <w:sz w:val="20"/>
          <w:szCs w:val="20"/>
        </w:rPr>
        <w:t xml:space="preserve"> командировъчни разходи</w:t>
      </w:r>
      <w:r w:rsidRPr="00C77D76">
        <w:rPr>
          <w:sz w:val="20"/>
          <w:szCs w:val="20"/>
        </w:rPr>
        <w:t>, включително за заплащане на такс</w:t>
      </w:r>
      <w:r w:rsidR="001A15D8" w:rsidRPr="00C77D76">
        <w:rPr>
          <w:sz w:val="20"/>
          <w:szCs w:val="20"/>
        </w:rPr>
        <w:t>и</w:t>
      </w:r>
      <w:r w:rsidRPr="00C77D76">
        <w:rPr>
          <w:sz w:val="20"/>
          <w:szCs w:val="20"/>
        </w:rPr>
        <w:t xml:space="preserve"> за правоучастие в научни форуми; частично финансиране на участие в научни форуми в чужбина.</w:t>
      </w:r>
    </w:p>
    <w:p w:rsidR="004F704E" w:rsidRPr="00A32283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4</w:t>
      </w:r>
      <w:r w:rsidRPr="00C77D76">
        <w:rPr>
          <w:sz w:val="20"/>
          <w:szCs w:val="20"/>
        </w:rPr>
        <w:t xml:space="preserve">. Ръководители и членове на колективи на проекти, в които са предвидени средства за командировки, не могат да ползват средства от Конкурса за частично финансиране на индивидуални участия в научни </w:t>
      </w:r>
      <w:r w:rsidR="00AC6DF1" w:rsidRPr="00C77D76">
        <w:rPr>
          <w:sz w:val="20"/>
          <w:szCs w:val="20"/>
        </w:rPr>
        <w:t>прояви</w:t>
      </w:r>
      <w:r w:rsidR="00A32283" w:rsidRPr="00A32283">
        <w:rPr>
          <w:sz w:val="20"/>
          <w:szCs w:val="20"/>
          <w:lang w:val="ru-RU"/>
        </w:rPr>
        <w:t xml:space="preserve"> (</w:t>
      </w:r>
      <w:r w:rsidR="00A32283">
        <w:rPr>
          <w:sz w:val="20"/>
          <w:szCs w:val="20"/>
        </w:rPr>
        <w:t>с изключение на инфраструктурните и демонстрационните проекти).</w:t>
      </w:r>
    </w:p>
    <w:p w:rsidR="004F704E" w:rsidRPr="00C77D76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5</w:t>
      </w:r>
      <w:r w:rsidRPr="00C77D76">
        <w:rPr>
          <w:sz w:val="20"/>
          <w:szCs w:val="20"/>
        </w:rPr>
        <w:t xml:space="preserve">. Средствата за публикуване </w:t>
      </w:r>
      <w:r w:rsidR="00B21F6D" w:rsidRPr="00C77D76">
        <w:rPr>
          <w:sz w:val="20"/>
          <w:szCs w:val="20"/>
        </w:rPr>
        <w:t xml:space="preserve">не могат да превишават </w:t>
      </w:r>
      <w:r w:rsidR="000F08EE" w:rsidRPr="00C77D76">
        <w:rPr>
          <w:sz w:val="20"/>
          <w:szCs w:val="20"/>
        </w:rPr>
        <w:t>20</w:t>
      </w:r>
      <w:r w:rsidR="00B21F6D" w:rsidRPr="00C77D76">
        <w:rPr>
          <w:sz w:val="20"/>
          <w:szCs w:val="20"/>
        </w:rPr>
        <w:t xml:space="preserve">% от стойността на </w:t>
      </w:r>
      <w:r w:rsidR="00014426">
        <w:rPr>
          <w:sz w:val="20"/>
          <w:szCs w:val="20"/>
        </w:rPr>
        <w:t>проекта</w:t>
      </w:r>
      <w:bookmarkStart w:id="0" w:name="_GoBack"/>
      <w:bookmarkEnd w:id="0"/>
      <w:r w:rsidR="00B21F6D" w:rsidRPr="00C77D76">
        <w:rPr>
          <w:sz w:val="20"/>
          <w:szCs w:val="20"/>
        </w:rPr>
        <w:t xml:space="preserve"> и </w:t>
      </w:r>
      <w:r w:rsidRPr="00C77D76">
        <w:rPr>
          <w:sz w:val="20"/>
          <w:szCs w:val="20"/>
        </w:rPr>
        <w:t>са за заплащане на такси за правоучастие (без командировъчни разходи); такси за публикуване, включително в чу</w:t>
      </w:r>
      <w:r w:rsidR="000254E6" w:rsidRPr="00C77D76">
        <w:rPr>
          <w:sz w:val="20"/>
          <w:szCs w:val="20"/>
        </w:rPr>
        <w:t>ж</w:t>
      </w:r>
      <w:r w:rsidRPr="00C77D76">
        <w:rPr>
          <w:sz w:val="20"/>
          <w:szCs w:val="20"/>
        </w:rPr>
        <w:t>бина; за закупуване на трудове от научен форум, в който участват членове на колектива по договора.</w:t>
      </w:r>
    </w:p>
    <w:p w:rsidR="00FA713E" w:rsidRPr="00C77D76" w:rsidRDefault="00FA713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6</w:t>
      </w:r>
      <w:r w:rsidRPr="00C77D76">
        <w:rPr>
          <w:sz w:val="20"/>
          <w:szCs w:val="20"/>
        </w:rPr>
        <w:t>. Всички услуги, свързани с отпечатване, копиране и подвързване, финансирани от средствата по „вътрешния” конкурс, се изпълняват само от Издателството на ТУ-Варна, освен ако това е технически невъзможно. Последното се документира с доклад от ръководителя на проекта, съгласуван с ръководителя на Издателството и утвърден от Зам.</w:t>
      </w:r>
      <w:r w:rsidR="009032FA">
        <w:rPr>
          <w:sz w:val="20"/>
          <w:szCs w:val="20"/>
        </w:rPr>
        <w:t xml:space="preserve"> </w:t>
      </w:r>
      <w:r w:rsidR="00014426">
        <w:rPr>
          <w:sz w:val="20"/>
          <w:szCs w:val="20"/>
        </w:rPr>
        <w:t>Ректор</w:t>
      </w:r>
      <w:r w:rsidRPr="00C77D76">
        <w:rPr>
          <w:sz w:val="20"/>
          <w:szCs w:val="20"/>
        </w:rPr>
        <w:t xml:space="preserve"> </w:t>
      </w:r>
      <w:r w:rsidRPr="00730B91">
        <w:rPr>
          <w:sz w:val="20"/>
          <w:szCs w:val="20"/>
        </w:rPr>
        <w:t>НД</w:t>
      </w:r>
      <w:r w:rsidRPr="00C77D76">
        <w:rPr>
          <w:sz w:val="20"/>
          <w:szCs w:val="20"/>
        </w:rPr>
        <w:t>.</w:t>
      </w:r>
    </w:p>
    <w:p w:rsidR="00D966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17</w:t>
      </w:r>
      <w:r w:rsidR="00D9664D" w:rsidRPr="00C77D76">
        <w:rPr>
          <w:sz w:val="20"/>
          <w:szCs w:val="20"/>
        </w:rPr>
        <w:t xml:space="preserve">. В стойността на договорите се включват отчисления за университета за обслужване на проектите в размер </w:t>
      </w:r>
      <w:r w:rsidR="00232FE7" w:rsidRPr="00C77D76">
        <w:rPr>
          <w:sz w:val="20"/>
          <w:szCs w:val="20"/>
        </w:rPr>
        <w:t>на</w:t>
      </w:r>
      <w:r w:rsidR="00D9664D" w:rsidRPr="00C77D76">
        <w:rPr>
          <w:sz w:val="20"/>
          <w:szCs w:val="20"/>
        </w:rPr>
        <w:t xml:space="preserve"> 10%</w:t>
      </w:r>
      <w:r w:rsidR="00A070F7" w:rsidRPr="00A070F7">
        <w:rPr>
          <w:sz w:val="20"/>
          <w:szCs w:val="20"/>
          <w:lang w:val="ru-RU"/>
        </w:rPr>
        <w:t xml:space="preserve"> (</w:t>
      </w:r>
      <w:r w:rsidR="00A070F7">
        <w:rPr>
          <w:sz w:val="20"/>
          <w:szCs w:val="20"/>
        </w:rPr>
        <w:t>с изключение на инфраструктурните проекти – отчисления в размер на 5%</w:t>
      </w:r>
      <w:r w:rsidR="00A070F7" w:rsidRPr="00A070F7">
        <w:rPr>
          <w:sz w:val="20"/>
          <w:szCs w:val="20"/>
          <w:lang w:val="ru-RU"/>
        </w:rPr>
        <w:t>)</w:t>
      </w:r>
      <w:r w:rsidR="00D9664D" w:rsidRPr="00C77D76">
        <w:rPr>
          <w:sz w:val="20"/>
          <w:szCs w:val="20"/>
        </w:rPr>
        <w:t>.</w:t>
      </w:r>
    </w:p>
    <w:p w:rsidR="008925C1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1</w:t>
      </w:r>
      <w:r w:rsidR="00F00798" w:rsidRPr="00C77D76">
        <w:rPr>
          <w:sz w:val="20"/>
          <w:szCs w:val="20"/>
          <w:lang w:val="ru-RU"/>
        </w:rPr>
        <w:t>8</w:t>
      </w:r>
      <w:r w:rsidR="00CD014D" w:rsidRPr="00C77D76">
        <w:rPr>
          <w:sz w:val="20"/>
          <w:szCs w:val="20"/>
        </w:rPr>
        <w:t>. Ръководителите на финансираните проекти представят междинни отч</w:t>
      </w:r>
      <w:r w:rsidR="00D127E4" w:rsidRPr="00C77D76">
        <w:rPr>
          <w:sz w:val="20"/>
          <w:szCs w:val="20"/>
        </w:rPr>
        <w:t xml:space="preserve">ети за шестмесечието по изпълнението на проектите, съгласно </w:t>
      </w:r>
      <w:r w:rsidR="00B76681" w:rsidRPr="00C77D76">
        <w:rPr>
          <w:sz w:val="20"/>
          <w:szCs w:val="20"/>
        </w:rPr>
        <w:t>срок</w:t>
      </w:r>
      <w:r w:rsidR="000F08EE" w:rsidRPr="00C77D76">
        <w:rPr>
          <w:sz w:val="20"/>
          <w:szCs w:val="20"/>
        </w:rPr>
        <w:t>а</w:t>
      </w:r>
      <w:r w:rsidR="00B76681" w:rsidRPr="00C77D76">
        <w:rPr>
          <w:sz w:val="20"/>
          <w:szCs w:val="20"/>
        </w:rPr>
        <w:t xml:space="preserve"> указан в </w:t>
      </w:r>
      <w:r w:rsidR="00D127E4" w:rsidRPr="00C77D76">
        <w:rPr>
          <w:sz w:val="20"/>
          <w:szCs w:val="20"/>
        </w:rPr>
        <w:t>Календарния</w:t>
      </w:r>
      <w:r w:rsidR="00B76681" w:rsidRPr="00C77D76">
        <w:rPr>
          <w:sz w:val="20"/>
          <w:szCs w:val="20"/>
        </w:rPr>
        <w:t xml:space="preserve"> </w:t>
      </w:r>
      <w:r w:rsidR="00D127E4" w:rsidRPr="00C77D76">
        <w:rPr>
          <w:sz w:val="20"/>
          <w:szCs w:val="20"/>
        </w:rPr>
        <w:t>план за текущата година</w:t>
      </w:r>
      <w:r w:rsidR="00CD014D" w:rsidRPr="00C77D76">
        <w:rPr>
          <w:sz w:val="20"/>
          <w:szCs w:val="20"/>
        </w:rPr>
        <w:t xml:space="preserve">. </w:t>
      </w:r>
    </w:p>
    <w:p w:rsidR="00B76681" w:rsidRPr="00BF1E71" w:rsidRDefault="0010315B" w:rsidP="00B76681">
      <w:pPr>
        <w:ind w:firstLine="708"/>
        <w:jc w:val="both"/>
        <w:rPr>
          <w:color w:val="FF0000"/>
          <w:sz w:val="20"/>
          <w:szCs w:val="20"/>
        </w:rPr>
      </w:pPr>
      <w:r w:rsidRPr="00C77D76">
        <w:rPr>
          <w:sz w:val="20"/>
          <w:szCs w:val="20"/>
          <w:lang w:val="ru-RU"/>
        </w:rPr>
        <w:t>1</w:t>
      </w:r>
      <w:r w:rsidR="00F00798" w:rsidRPr="00C77D76">
        <w:rPr>
          <w:sz w:val="20"/>
          <w:szCs w:val="20"/>
          <w:lang w:val="ru-RU"/>
        </w:rPr>
        <w:t>9</w:t>
      </w:r>
      <w:r w:rsidR="00CD014D" w:rsidRPr="00C77D76">
        <w:rPr>
          <w:sz w:val="20"/>
          <w:szCs w:val="20"/>
        </w:rPr>
        <w:t xml:space="preserve">. Най-малко една публикация по тематиката на всеки проект трябва да бъде докладвана на научна конференция или депозирана за печат до </w:t>
      </w:r>
      <w:r w:rsidR="00B76681" w:rsidRPr="00C77D76">
        <w:rPr>
          <w:sz w:val="20"/>
          <w:szCs w:val="20"/>
        </w:rPr>
        <w:t>м. декември на текущата година</w:t>
      </w:r>
      <w:r w:rsidR="00CD014D" w:rsidRPr="00C77D76">
        <w:rPr>
          <w:sz w:val="20"/>
          <w:szCs w:val="20"/>
        </w:rPr>
        <w:t>. В публикациите задължително се отбелязва, че резултатите са получени по проект, финансиран от субсидията за научни изследвания в ТУ- Варна.</w:t>
      </w:r>
      <w:r w:rsidR="002E5D4F" w:rsidRPr="00C77D76">
        <w:rPr>
          <w:sz w:val="20"/>
          <w:szCs w:val="20"/>
          <w:lang w:val="ru-RU"/>
        </w:rPr>
        <w:t xml:space="preserve"> </w:t>
      </w:r>
      <w:r w:rsidR="002E5D4F" w:rsidRPr="00730B91">
        <w:rPr>
          <w:sz w:val="20"/>
          <w:szCs w:val="20"/>
        </w:rPr>
        <w:lastRenderedPageBreak/>
        <w:t>Предимство се дава на проектите, в които се п</w:t>
      </w:r>
      <w:r w:rsidR="005022F1" w:rsidRPr="00730B91">
        <w:rPr>
          <w:sz w:val="20"/>
          <w:szCs w:val="20"/>
        </w:rPr>
        <w:t>редвижда публикуване</w:t>
      </w:r>
      <w:r w:rsidR="007A64A4" w:rsidRPr="00730B91">
        <w:rPr>
          <w:sz w:val="20"/>
          <w:szCs w:val="20"/>
        </w:rPr>
        <w:t xml:space="preserve"> в списания </w:t>
      </w:r>
      <w:r w:rsidR="005022F1" w:rsidRPr="00730B91">
        <w:rPr>
          <w:sz w:val="20"/>
          <w:szCs w:val="20"/>
        </w:rPr>
        <w:t xml:space="preserve">с </w:t>
      </w:r>
      <w:proofErr w:type="spellStart"/>
      <w:r w:rsidR="00C97F85" w:rsidRPr="00730B91">
        <w:rPr>
          <w:sz w:val="20"/>
          <w:szCs w:val="20"/>
        </w:rPr>
        <w:t>импакт</w:t>
      </w:r>
      <w:proofErr w:type="spellEnd"/>
      <w:r w:rsidR="005022F1" w:rsidRPr="00730B91">
        <w:rPr>
          <w:sz w:val="20"/>
          <w:szCs w:val="20"/>
          <w:lang w:val="ru-RU"/>
        </w:rPr>
        <w:t xml:space="preserve"> </w:t>
      </w:r>
      <w:r w:rsidR="005022F1" w:rsidRPr="00730B91">
        <w:rPr>
          <w:sz w:val="20"/>
          <w:szCs w:val="20"/>
        </w:rPr>
        <w:t>фактор</w:t>
      </w:r>
      <w:r w:rsidR="009032FA" w:rsidRPr="00730B91">
        <w:rPr>
          <w:sz w:val="20"/>
          <w:szCs w:val="20"/>
          <w:lang w:val="ru-RU"/>
        </w:rPr>
        <w:t xml:space="preserve"> </w:t>
      </w:r>
      <w:r w:rsidR="009032FA" w:rsidRPr="00730B91">
        <w:rPr>
          <w:sz w:val="20"/>
          <w:szCs w:val="20"/>
        </w:rPr>
        <w:t xml:space="preserve">по системата </w:t>
      </w:r>
      <w:proofErr w:type="spellStart"/>
      <w:r w:rsidR="009032FA" w:rsidRPr="00730B91">
        <w:rPr>
          <w:sz w:val="20"/>
          <w:szCs w:val="20"/>
        </w:rPr>
        <w:t>Thomson</w:t>
      </w:r>
      <w:proofErr w:type="spellEnd"/>
      <w:r w:rsidR="009032FA" w:rsidRPr="00730B91">
        <w:rPr>
          <w:sz w:val="20"/>
          <w:szCs w:val="20"/>
        </w:rPr>
        <w:t xml:space="preserve"> </w:t>
      </w:r>
      <w:proofErr w:type="spellStart"/>
      <w:r w:rsidR="009032FA" w:rsidRPr="00730B91">
        <w:rPr>
          <w:sz w:val="20"/>
          <w:szCs w:val="20"/>
        </w:rPr>
        <w:t>Reuters</w:t>
      </w:r>
      <w:proofErr w:type="spellEnd"/>
      <w:r w:rsidR="009032FA" w:rsidRPr="00730B91">
        <w:rPr>
          <w:sz w:val="20"/>
          <w:szCs w:val="20"/>
        </w:rPr>
        <w:t xml:space="preserve"> </w:t>
      </w:r>
      <w:r w:rsidR="007A64A4" w:rsidRPr="00730B91">
        <w:rPr>
          <w:sz w:val="20"/>
          <w:szCs w:val="20"/>
          <w:lang w:val="en-US"/>
        </w:rPr>
        <w:t>Journal</w:t>
      </w:r>
      <w:r w:rsidR="007A64A4" w:rsidRPr="00730B91">
        <w:rPr>
          <w:sz w:val="20"/>
          <w:szCs w:val="20"/>
          <w:lang w:val="ru-RU"/>
        </w:rPr>
        <w:t xml:space="preserve"> </w:t>
      </w:r>
      <w:r w:rsidR="007A64A4" w:rsidRPr="00730B91">
        <w:rPr>
          <w:sz w:val="20"/>
          <w:szCs w:val="20"/>
          <w:lang w:val="en-US"/>
        </w:rPr>
        <w:t>Citation</w:t>
      </w:r>
      <w:r w:rsidR="007A64A4" w:rsidRPr="00730B91">
        <w:rPr>
          <w:sz w:val="20"/>
          <w:szCs w:val="20"/>
          <w:lang w:val="ru-RU"/>
        </w:rPr>
        <w:t xml:space="preserve"> </w:t>
      </w:r>
      <w:r w:rsidR="007A64A4" w:rsidRPr="00730B91">
        <w:rPr>
          <w:sz w:val="20"/>
          <w:szCs w:val="20"/>
          <w:lang w:val="en-US"/>
        </w:rPr>
        <w:t>Report</w:t>
      </w:r>
      <w:r w:rsidR="00BF1E71" w:rsidRPr="00730B91">
        <w:rPr>
          <w:sz w:val="20"/>
          <w:szCs w:val="20"/>
        </w:rPr>
        <w:t xml:space="preserve"> и</w:t>
      </w:r>
      <w:r w:rsidR="007839D6" w:rsidRPr="00730B91">
        <w:rPr>
          <w:sz w:val="20"/>
          <w:szCs w:val="20"/>
        </w:rPr>
        <w:t xml:space="preserve">/или списания с </w:t>
      </w:r>
      <w:proofErr w:type="spellStart"/>
      <w:r w:rsidR="007839D6" w:rsidRPr="00730B91">
        <w:rPr>
          <w:sz w:val="20"/>
          <w:szCs w:val="20"/>
        </w:rPr>
        <w:t>импакт</w:t>
      </w:r>
      <w:proofErr w:type="spellEnd"/>
      <w:r w:rsidR="007839D6" w:rsidRPr="00730B91">
        <w:rPr>
          <w:sz w:val="20"/>
          <w:szCs w:val="20"/>
        </w:rPr>
        <w:t xml:space="preserve"> ранг</w:t>
      </w:r>
      <w:r w:rsidR="005022F1" w:rsidRPr="00730B91">
        <w:rPr>
          <w:sz w:val="20"/>
          <w:szCs w:val="20"/>
        </w:rPr>
        <w:t xml:space="preserve"> </w:t>
      </w:r>
      <w:r w:rsidR="007839D6" w:rsidRPr="00730B91">
        <w:rPr>
          <w:sz w:val="20"/>
          <w:szCs w:val="20"/>
        </w:rPr>
        <w:t xml:space="preserve">индексирани </w:t>
      </w:r>
      <w:r w:rsidR="005022F1" w:rsidRPr="00730B91">
        <w:rPr>
          <w:sz w:val="20"/>
          <w:szCs w:val="20"/>
        </w:rPr>
        <w:t xml:space="preserve">в </w:t>
      </w:r>
      <w:r w:rsidR="002E5D4F" w:rsidRPr="00730B91">
        <w:rPr>
          <w:sz w:val="20"/>
          <w:szCs w:val="20"/>
          <w:lang w:val="en-US"/>
        </w:rPr>
        <w:t>SCOPUS</w:t>
      </w:r>
      <w:r w:rsidR="002E5D4F" w:rsidRPr="00730B91">
        <w:rPr>
          <w:sz w:val="20"/>
          <w:szCs w:val="20"/>
        </w:rPr>
        <w:t>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20</w:t>
      </w:r>
      <w:r w:rsidR="00CD014D" w:rsidRPr="00C77D76">
        <w:rPr>
          <w:sz w:val="20"/>
          <w:szCs w:val="20"/>
        </w:rPr>
        <w:t>. Заедно с отчета, всеки ръководител на договор представя резюме на проекта и получените резултати в размер до 2 страници.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21</w:t>
      </w:r>
      <w:r w:rsidR="007A64A4">
        <w:rPr>
          <w:sz w:val="20"/>
          <w:szCs w:val="20"/>
        </w:rPr>
        <w:t>. Зам. Р</w:t>
      </w:r>
      <w:r w:rsidR="00014426">
        <w:rPr>
          <w:sz w:val="20"/>
          <w:szCs w:val="20"/>
        </w:rPr>
        <w:t xml:space="preserve">ектор </w:t>
      </w:r>
      <w:r w:rsidR="00CD014D" w:rsidRPr="00C77D76">
        <w:rPr>
          <w:sz w:val="20"/>
          <w:szCs w:val="20"/>
        </w:rPr>
        <w:t>НД осигурява</w:t>
      </w:r>
      <w:r w:rsidR="00C73326" w:rsidRPr="00C77D76">
        <w:rPr>
          <w:sz w:val="20"/>
          <w:szCs w:val="20"/>
        </w:rPr>
        <w:t xml:space="preserve"> отпечатването на общ за университета Информационен бюлетин за резултатите от конкурсите</w:t>
      </w:r>
      <w:r w:rsidR="002B0CA2" w:rsidRPr="00C77D76">
        <w:rPr>
          <w:sz w:val="20"/>
          <w:szCs w:val="20"/>
        </w:rPr>
        <w:t>, във вид на сборник на</w:t>
      </w:r>
      <w:r w:rsidR="00C73326" w:rsidRPr="00C77D76">
        <w:rPr>
          <w:sz w:val="20"/>
          <w:szCs w:val="20"/>
        </w:rPr>
        <w:t xml:space="preserve"> резюметата на изпълнените проекти.</w:t>
      </w:r>
    </w:p>
    <w:p w:rsidR="00FA713E" w:rsidRPr="00C77D76" w:rsidRDefault="004D0B6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</w:t>
      </w:r>
      <w:r w:rsidR="00F00798" w:rsidRPr="00C77D76">
        <w:rPr>
          <w:sz w:val="20"/>
          <w:szCs w:val="20"/>
        </w:rPr>
        <w:t>2</w:t>
      </w:r>
      <w:r w:rsidR="00FA713E" w:rsidRPr="00C77D76">
        <w:rPr>
          <w:sz w:val="20"/>
          <w:szCs w:val="20"/>
        </w:rPr>
        <w:t xml:space="preserve">. За всички конкурси в сайта на Университета са поместени </w:t>
      </w:r>
      <w:r w:rsidR="00B76681" w:rsidRPr="00C77D76">
        <w:rPr>
          <w:sz w:val="20"/>
          <w:szCs w:val="20"/>
        </w:rPr>
        <w:t>утвърдени от Ректора конкретни</w:t>
      </w:r>
      <w:r w:rsidR="00FA713E" w:rsidRPr="00C77D76">
        <w:rPr>
          <w:sz w:val="20"/>
          <w:szCs w:val="20"/>
        </w:rPr>
        <w:t xml:space="preserve"> указания за съдържанието и формата на документите </w:t>
      </w:r>
      <w:r w:rsidR="001C1B46" w:rsidRPr="00C77D76">
        <w:rPr>
          <w:sz w:val="20"/>
          <w:szCs w:val="20"/>
        </w:rPr>
        <w:t>за:</w:t>
      </w:r>
      <w:r w:rsidR="00FA713E" w:rsidRPr="00C77D76">
        <w:rPr>
          <w:sz w:val="20"/>
          <w:szCs w:val="20"/>
        </w:rPr>
        <w:t xml:space="preserve"> кандидатстване, разработване, отчитане и оценяване на проектите. Спазването на тези указания е задължително.</w:t>
      </w:r>
    </w:p>
    <w:p w:rsidR="00FA713E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</w:t>
      </w:r>
      <w:r w:rsidR="00F00798" w:rsidRPr="00C77D76">
        <w:rPr>
          <w:sz w:val="20"/>
          <w:szCs w:val="20"/>
        </w:rPr>
        <w:t>3</w:t>
      </w:r>
      <w:r w:rsidR="00FA713E" w:rsidRPr="00C77D76">
        <w:rPr>
          <w:sz w:val="20"/>
          <w:szCs w:val="20"/>
        </w:rPr>
        <w:t xml:space="preserve">. </w:t>
      </w:r>
      <w:r w:rsidR="00AD1FE5" w:rsidRPr="00C77D76">
        <w:rPr>
          <w:sz w:val="20"/>
          <w:szCs w:val="20"/>
        </w:rPr>
        <w:t>Специфичните изисквания з</w:t>
      </w:r>
      <w:r w:rsidR="00FA713E" w:rsidRPr="00C77D76">
        <w:rPr>
          <w:sz w:val="20"/>
          <w:szCs w:val="20"/>
        </w:rPr>
        <w:t xml:space="preserve">а </w:t>
      </w:r>
      <w:r w:rsidR="00232FE7" w:rsidRPr="00C77D76">
        <w:rPr>
          <w:sz w:val="20"/>
          <w:szCs w:val="20"/>
        </w:rPr>
        <w:t xml:space="preserve">отделните типове проекти съгласно Наредбата на МОН </w:t>
      </w:r>
      <w:r w:rsidR="00FA713E" w:rsidRPr="00C77D76">
        <w:rPr>
          <w:sz w:val="20"/>
          <w:szCs w:val="20"/>
        </w:rPr>
        <w:t>са изложени в указанията на съответната група проекти.</w:t>
      </w:r>
    </w:p>
    <w:p w:rsidR="00C73326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</w:t>
      </w:r>
      <w:r w:rsidR="00F00798" w:rsidRPr="00C77D76">
        <w:rPr>
          <w:sz w:val="20"/>
          <w:szCs w:val="20"/>
          <w:lang w:val="ru-RU"/>
        </w:rPr>
        <w:t>4</w:t>
      </w:r>
      <w:r w:rsidR="00C73326" w:rsidRPr="00C77D76">
        <w:rPr>
          <w:sz w:val="20"/>
          <w:szCs w:val="20"/>
        </w:rPr>
        <w:t>. Финансово-счетоводното обслужва</w:t>
      </w:r>
      <w:r w:rsidR="007A64A4">
        <w:rPr>
          <w:sz w:val="20"/>
          <w:szCs w:val="20"/>
        </w:rPr>
        <w:t>не на вътрешните конкурси за ТУ</w:t>
      </w:r>
      <w:r w:rsidR="00C73326" w:rsidRPr="00C77D76">
        <w:rPr>
          <w:sz w:val="20"/>
          <w:szCs w:val="20"/>
        </w:rPr>
        <w:t>–Варна се извършва от счетоводството на университета.</w:t>
      </w:r>
    </w:p>
    <w:p w:rsidR="0081723E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</w:t>
      </w:r>
      <w:r w:rsidR="00F00798" w:rsidRPr="00C77D76">
        <w:rPr>
          <w:sz w:val="20"/>
          <w:szCs w:val="20"/>
        </w:rPr>
        <w:t>5</w:t>
      </w:r>
      <w:r w:rsidR="00C73326" w:rsidRPr="00C77D76">
        <w:rPr>
          <w:sz w:val="20"/>
          <w:szCs w:val="20"/>
        </w:rPr>
        <w:t>.</w:t>
      </w:r>
      <w:r w:rsidR="0081723E" w:rsidRPr="00C77D76">
        <w:rPr>
          <w:sz w:val="20"/>
          <w:szCs w:val="20"/>
        </w:rPr>
        <w:t xml:space="preserve"> </w:t>
      </w:r>
      <w:r w:rsidR="00C73326" w:rsidRPr="00C77D76">
        <w:rPr>
          <w:sz w:val="20"/>
          <w:szCs w:val="20"/>
        </w:rPr>
        <w:t xml:space="preserve"> </w:t>
      </w:r>
      <w:r w:rsidR="0081723E" w:rsidRPr="00C77D76">
        <w:rPr>
          <w:sz w:val="20"/>
          <w:szCs w:val="20"/>
        </w:rPr>
        <w:t>В съот</w:t>
      </w:r>
      <w:r w:rsidR="00232FE7" w:rsidRPr="00C77D76">
        <w:rPr>
          <w:sz w:val="20"/>
          <w:szCs w:val="20"/>
        </w:rPr>
        <w:t xml:space="preserve">ветствие с чл. </w:t>
      </w:r>
      <w:r w:rsidR="00A55DF4" w:rsidRPr="00C77D76">
        <w:rPr>
          <w:sz w:val="20"/>
          <w:szCs w:val="20"/>
        </w:rPr>
        <w:t>9</w:t>
      </w:r>
      <w:r w:rsidR="00232FE7" w:rsidRPr="00C77D76">
        <w:rPr>
          <w:sz w:val="20"/>
          <w:szCs w:val="20"/>
        </w:rPr>
        <w:t xml:space="preserve"> (1) на Наредбата </w:t>
      </w:r>
      <w:r w:rsidR="0081723E" w:rsidRPr="00C77D76">
        <w:rPr>
          <w:sz w:val="20"/>
          <w:szCs w:val="20"/>
        </w:rPr>
        <w:t>на МОН</w:t>
      </w:r>
      <w:r w:rsidR="00232FE7" w:rsidRPr="00C77D76">
        <w:rPr>
          <w:sz w:val="20"/>
          <w:szCs w:val="20"/>
        </w:rPr>
        <w:t xml:space="preserve"> от 16.09.2016г.</w:t>
      </w:r>
      <w:r w:rsidR="0081723E" w:rsidRPr="00C77D76">
        <w:rPr>
          <w:sz w:val="20"/>
          <w:szCs w:val="20"/>
        </w:rPr>
        <w:t xml:space="preserve"> се формира постоянна партида „Текущо финансиране и подпомагане“ в размер </w:t>
      </w:r>
      <w:r w:rsidR="00C85238" w:rsidRPr="00C77D76">
        <w:rPr>
          <w:sz w:val="20"/>
          <w:szCs w:val="20"/>
        </w:rPr>
        <w:t>до</w:t>
      </w:r>
      <w:r w:rsidR="0081723E" w:rsidRPr="00C77D76">
        <w:rPr>
          <w:sz w:val="20"/>
          <w:szCs w:val="20"/>
        </w:rPr>
        <w:t xml:space="preserve"> </w:t>
      </w:r>
      <w:r w:rsidR="00232FE7" w:rsidRPr="00C77D76">
        <w:rPr>
          <w:sz w:val="20"/>
          <w:szCs w:val="20"/>
        </w:rPr>
        <w:t>10</w:t>
      </w:r>
      <w:r w:rsidR="0081723E" w:rsidRPr="00C77D76">
        <w:rPr>
          <w:sz w:val="20"/>
          <w:szCs w:val="20"/>
        </w:rPr>
        <w:t>% от целевата субсидия за научна дейност.</w:t>
      </w:r>
    </w:p>
    <w:p w:rsidR="00C73326" w:rsidRDefault="0081723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26. </w:t>
      </w:r>
      <w:r w:rsidR="00C73326" w:rsidRPr="00C77D76">
        <w:rPr>
          <w:sz w:val="20"/>
          <w:szCs w:val="20"/>
        </w:rPr>
        <w:t>При непредставяне на междин</w:t>
      </w:r>
      <w:r w:rsidR="00AC6DF1" w:rsidRPr="00C77D76">
        <w:rPr>
          <w:sz w:val="20"/>
          <w:szCs w:val="20"/>
        </w:rPr>
        <w:t>е</w:t>
      </w:r>
      <w:r w:rsidR="00C73326" w:rsidRPr="00C77D76">
        <w:rPr>
          <w:sz w:val="20"/>
          <w:szCs w:val="20"/>
        </w:rPr>
        <w:t>н</w:t>
      </w:r>
      <w:r w:rsidR="001C1B46" w:rsidRPr="00C77D76">
        <w:rPr>
          <w:sz w:val="20"/>
          <w:szCs w:val="20"/>
        </w:rPr>
        <w:t xml:space="preserve"> отчет</w:t>
      </w:r>
      <w:r w:rsidR="00C73326" w:rsidRPr="00C77D76">
        <w:rPr>
          <w:sz w:val="20"/>
          <w:szCs w:val="20"/>
        </w:rPr>
        <w:t xml:space="preserve"> или констатирани нарушения при изпълнение</w:t>
      </w:r>
      <w:r w:rsidR="00AC6DF1" w:rsidRPr="00C77D76">
        <w:rPr>
          <w:sz w:val="20"/>
          <w:szCs w:val="20"/>
        </w:rPr>
        <w:t>то</w:t>
      </w:r>
      <w:r w:rsidR="00C73326" w:rsidRPr="00C77D76">
        <w:rPr>
          <w:sz w:val="20"/>
          <w:szCs w:val="20"/>
        </w:rPr>
        <w:t xml:space="preserve"> на проект</w:t>
      </w:r>
      <w:r w:rsidR="002B0CA2" w:rsidRPr="00C77D76">
        <w:rPr>
          <w:sz w:val="20"/>
          <w:szCs w:val="20"/>
        </w:rPr>
        <w:t>,</w:t>
      </w:r>
      <w:r w:rsidR="00C73326" w:rsidRPr="00C77D76">
        <w:rPr>
          <w:sz w:val="20"/>
          <w:szCs w:val="20"/>
        </w:rPr>
        <w:t xml:space="preserve"> по предложение на Председателя на Централната конкурсна комисия, Ректорът може със заповед да намали финансирането или да п</w:t>
      </w:r>
      <w:r w:rsidR="002B0CA2" w:rsidRPr="00C77D76">
        <w:rPr>
          <w:sz w:val="20"/>
          <w:szCs w:val="20"/>
        </w:rPr>
        <w:t xml:space="preserve">рекрати изпълнението на </w:t>
      </w:r>
      <w:r w:rsidR="001C1B46" w:rsidRPr="00C77D76">
        <w:rPr>
          <w:sz w:val="20"/>
          <w:szCs w:val="20"/>
        </w:rPr>
        <w:t xml:space="preserve">съответния </w:t>
      </w:r>
      <w:r w:rsidR="002B0CA2" w:rsidRPr="00C77D76">
        <w:rPr>
          <w:sz w:val="20"/>
          <w:szCs w:val="20"/>
        </w:rPr>
        <w:t xml:space="preserve">проект и да преразпредели освободените средства между останалите </w:t>
      </w:r>
      <w:r w:rsidR="007A64A4">
        <w:rPr>
          <w:sz w:val="20"/>
          <w:szCs w:val="20"/>
        </w:rPr>
        <w:t>научно</w:t>
      </w:r>
      <w:r w:rsidR="007A64A4" w:rsidRPr="00C77D76">
        <w:rPr>
          <w:sz w:val="20"/>
          <w:szCs w:val="20"/>
        </w:rPr>
        <w:t>изследователски</w:t>
      </w:r>
      <w:r w:rsidR="002B0CA2" w:rsidRPr="00C77D76">
        <w:rPr>
          <w:sz w:val="20"/>
          <w:szCs w:val="20"/>
        </w:rPr>
        <w:t xml:space="preserve"> колективи, изпълняващи задълженията си по договорите.</w:t>
      </w:r>
    </w:p>
    <w:p w:rsidR="00C77D76" w:rsidRDefault="00C77D76" w:rsidP="00E859DE">
      <w:pPr>
        <w:ind w:firstLine="708"/>
        <w:jc w:val="both"/>
        <w:rPr>
          <w:sz w:val="20"/>
          <w:szCs w:val="20"/>
        </w:rPr>
      </w:pPr>
    </w:p>
    <w:p w:rsidR="00C77D76" w:rsidRPr="00C77D76" w:rsidRDefault="00C77D76" w:rsidP="00E859DE">
      <w:pPr>
        <w:ind w:firstLine="708"/>
        <w:jc w:val="both"/>
        <w:rPr>
          <w:sz w:val="20"/>
          <w:szCs w:val="20"/>
        </w:rPr>
      </w:pPr>
    </w:p>
    <w:p w:rsidR="00C73326" w:rsidRPr="00C77D76" w:rsidRDefault="00D9664D" w:rsidP="004D0B6B">
      <w:pPr>
        <w:jc w:val="both"/>
        <w:rPr>
          <w:sz w:val="20"/>
          <w:szCs w:val="20"/>
        </w:rPr>
      </w:pPr>
      <w:r w:rsidRPr="00C77D76">
        <w:rPr>
          <w:b/>
          <w:sz w:val="20"/>
          <w:szCs w:val="20"/>
        </w:rPr>
        <w:t>Забележка:</w:t>
      </w:r>
      <w:r w:rsidRPr="00C77D76">
        <w:rPr>
          <w:sz w:val="20"/>
          <w:szCs w:val="20"/>
        </w:rPr>
        <w:t xml:space="preserve"> </w:t>
      </w:r>
      <w:r w:rsidR="004D0B6B" w:rsidRPr="00C77D76">
        <w:rPr>
          <w:sz w:val="20"/>
          <w:szCs w:val="20"/>
        </w:rPr>
        <w:tab/>
        <w:t>1. Ограничението по т.1</w:t>
      </w:r>
      <w:r w:rsidR="00F00798" w:rsidRPr="00C77D76">
        <w:rPr>
          <w:sz w:val="20"/>
          <w:szCs w:val="20"/>
        </w:rPr>
        <w:t>7</w:t>
      </w:r>
      <w:r w:rsidR="004D0B6B" w:rsidRPr="00C77D76">
        <w:rPr>
          <w:sz w:val="20"/>
          <w:szCs w:val="20"/>
        </w:rPr>
        <w:t xml:space="preserve"> е нормативно </w:t>
      </w:r>
      <w:r w:rsidR="00F00798" w:rsidRPr="00C77D76">
        <w:rPr>
          <w:sz w:val="20"/>
          <w:szCs w:val="20"/>
        </w:rPr>
        <w:t>(Наредба</w:t>
      </w:r>
      <w:r w:rsidR="00232FE7" w:rsidRPr="00C77D76">
        <w:rPr>
          <w:sz w:val="20"/>
          <w:szCs w:val="20"/>
        </w:rPr>
        <w:t>та</w:t>
      </w:r>
      <w:r w:rsidR="00F00798" w:rsidRPr="00C77D76">
        <w:rPr>
          <w:sz w:val="20"/>
          <w:szCs w:val="20"/>
        </w:rPr>
        <w:t xml:space="preserve"> на МО</w:t>
      </w:r>
      <w:r w:rsidR="004D0B6B" w:rsidRPr="00C77D76">
        <w:rPr>
          <w:sz w:val="20"/>
          <w:szCs w:val="20"/>
        </w:rPr>
        <w:t>Н</w:t>
      </w:r>
      <w:r w:rsidR="00232FE7" w:rsidRPr="00C77D76">
        <w:rPr>
          <w:sz w:val="20"/>
          <w:szCs w:val="20"/>
        </w:rPr>
        <w:t xml:space="preserve"> от 16.09.2016г.</w:t>
      </w:r>
      <w:r w:rsidR="004D0B6B" w:rsidRPr="00C77D76">
        <w:rPr>
          <w:sz w:val="20"/>
          <w:szCs w:val="20"/>
        </w:rPr>
        <w:t>)</w:t>
      </w:r>
    </w:p>
    <w:p w:rsidR="004D0B6B" w:rsidRDefault="004D0B6B" w:rsidP="004D0B6B">
      <w:pPr>
        <w:ind w:left="1416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2. Размерът на ограниченията по т. </w:t>
      </w:r>
      <w:r w:rsidR="00F00798" w:rsidRPr="00C77D76">
        <w:rPr>
          <w:sz w:val="20"/>
          <w:szCs w:val="20"/>
        </w:rPr>
        <w:t>9</w:t>
      </w:r>
      <w:r w:rsidRPr="00C77D76">
        <w:rPr>
          <w:sz w:val="20"/>
          <w:szCs w:val="20"/>
        </w:rPr>
        <w:t>, 1</w:t>
      </w:r>
      <w:r w:rsidR="00F00798" w:rsidRPr="00C77D76">
        <w:rPr>
          <w:sz w:val="20"/>
          <w:szCs w:val="20"/>
        </w:rPr>
        <w:t>3</w:t>
      </w:r>
      <w:r w:rsidRPr="00C77D76">
        <w:rPr>
          <w:sz w:val="20"/>
          <w:szCs w:val="20"/>
        </w:rPr>
        <w:t>, 1</w:t>
      </w:r>
      <w:r w:rsidR="00F00798" w:rsidRPr="00C77D76">
        <w:rPr>
          <w:sz w:val="20"/>
          <w:szCs w:val="20"/>
        </w:rPr>
        <w:t>5</w:t>
      </w:r>
      <w:r w:rsidR="0081723E" w:rsidRPr="00C77D76">
        <w:rPr>
          <w:sz w:val="20"/>
          <w:szCs w:val="20"/>
        </w:rPr>
        <w:t xml:space="preserve"> и 25</w:t>
      </w:r>
      <w:r w:rsidRPr="00C77D76">
        <w:rPr>
          <w:sz w:val="20"/>
          <w:szCs w:val="20"/>
        </w:rPr>
        <w:t xml:space="preserve"> се определят ежегодно от АС.</w:t>
      </w:r>
    </w:p>
    <w:p w:rsidR="00C77D76" w:rsidRPr="00C77D76" w:rsidRDefault="00C77D76" w:rsidP="004D0B6B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Прието на АС на </w:t>
      </w:r>
      <w:r w:rsidR="00014426">
        <w:rPr>
          <w:sz w:val="20"/>
          <w:szCs w:val="20"/>
        </w:rPr>
        <w:t>25.02.2021г.</w:t>
      </w:r>
      <w:r w:rsidR="007C1B06">
        <w:rPr>
          <w:sz w:val="20"/>
          <w:szCs w:val="20"/>
        </w:rPr>
        <w:t xml:space="preserve"> (Протокол №</w:t>
      </w:r>
      <w:r w:rsidR="007C1B06" w:rsidRPr="007C1B06">
        <w:rPr>
          <w:sz w:val="20"/>
          <w:szCs w:val="20"/>
          <w:lang w:val="ru-RU"/>
        </w:rPr>
        <w:t xml:space="preserve"> </w:t>
      </w:r>
      <w:r w:rsidR="00014426">
        <w:rPr>
          <w:sz w:val="20"/>
          <w:szCs w:val="20"/>
          <w:lang w:val="ru-RU"/>
        </w:rPr>
        <w:t>29</w:t>
      </w:r>
      <w:r w:rsidRPr="00C77D76">
        <w:rPr>
          <w:sz w:val="20"/>
          <w:szCs w:val="20"/>
        </w:rPr>
        <w:t>)</w:t>
      </w: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P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Pr="00C77D76" w:rsidRDefault="008F5B1A" w:rsidP="008F5B1A">
      <w:pPr>
        <w:jc w:val="both"/>
      </w:pP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="00C77D76" w:rsidRPr="00C77D76">
        <w:t>Ректор:</w:t>
      </w:r>
    </w:p>
    <w:p w:rsidR="00C77D76" w:rsidRPr="00C77D76" w:rsidRDefault="00C77D76" w:rsidP="008F5B1A">
      <w:pPr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                                                                                                           /проф. д-р инж. Венцислав Вълчев/  </w:t>
      </w:r>
    </w:p>
    <w:p w:rsidR="00C97F85" w:rsidRDefault="008F5B1A" w:rsidP="008F5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97F85" w:rsidSect="002E157E">
      <w:footerReference w:type="default" r:id="rId9"/>
      <w:headerReference w:type="first" r:id="rId10"/>
      <w:pgSz w:w="11906" w:h="16838" w:code="9"/>
      <w:pgMar w:top="1079" w:right="1060" w:bottom="720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DC" w:rsidRDefault="00474ADC">
      <w:r>
        <w:separator/>
      </w:r>
    </w:p>
  </w:endnote>
  <w:endnote w:type="continuationSeparator" w:id="0">
    <w:p w:rsidR="00474ADC" w:rsidRDefault="004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15" w:rsidRDefault="001F3215" w:rsidP="001F321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442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DC" w:rsidRDefault="00474ADC">
      <w:r>
        <w:separator/>
      </w:r>
    </w:p>
  </w:footnote>
  <w:footnote w:type="continuationSeparator" w:id="0">
    <w:p w:rsidR="00474ADC" w:rsidRDefault="0047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EE" w:rsidRPr="000F08EE" w:rsidRDefault="000F08EE" w:rsidP="000F08EE">
    <w:pPr>
      <w:pStyle w:val="Header"/>
      <w:jc w:val="right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E"/>
    <w:rsid w:val="00014426"/>
    <w:rsid w:val="000218C1"/>
    <w:rsid w:val="000254E6"/>
    <w:rsid w:val="00072CE9"/>
    <w:rsid w:val="000C0503"/>
    <w:rsid w:val="000D5C1D"/>
    <w:rsid w:val="000F08EE"/>
    <w:rsid w:val="0010315B"/>
    <w:rsid w:val="00104FB8"/>
    <w:rsid w:val="001143FC"/>
    <w:rsid w:val="001319FA"/>
    <w:rsid w:val="00163726"/>
    <w:rsid w:val="001753AB"/>
    <w:rsid w:val="00175677"/>
    <w:rsid w:val="001A15D8"/>
    <w:rsid w:val="001B07BC"/>
    <w:rsid w:val="001C1B46"/>
    <w:rsid w:val="001F3215"/>
    <w:rsid w:val="002038E1"/>
    <w:rsid w:val="00226324"/>
    <w:rsid w:val="00232FE7"/>
    <w:rsid w:val="00236D73"/>
    <w:rsid w:val="002B0CA2"/>
    <w:rsid w:val="002E157E"/>
    <w:rsid w:val="002E5D4F"/>
    <w:rsid w:val="002F043D"/>
    <w:rsid w:val="00327C30"/>
    <w:rsid w:val="00354206"/>
    <w:rsid w:val="00393366"/>
    <w:rsid w:val="00440154"/>
    <w:rsid w:val="00453F9A"/>
    <w:rsid w:val="004742C8"/>
    <w:rsid w:val="00474ADC"/>
    <w:rsid w:val="004B1BEA"/>
    <w:rsid w:val="004B2481"/>
    <w:rsid w:val="004D0B6B"/>
    <w:rsid w:val="004F704E"/>
    <w:rsid w:val="005022F1"/>
    <w:rsid w:val="00531213"/>
    <w:rsid w:val="005820BB"/>
    <w:rsid w:val="005B1291"/>
    <w:rsid w:val="005C7E69"/>
    <w:rsid w:val="005F211B"/>
    <w:rsid w:val="005F7D39"/>
    <w:rsid w:val="00616CE9"/>
    <w:rsid w:val="006A529F"/>
    <w:rsid w:val="00722126"/>
    <w:rsid w:val="00730B91"/>
    <w:rsid w:val="007535CD"/>
    <w:rsid w:val="0076759E"/>
    <w:rsid w:val="00767B10"/>
    <w:rsid w:val="00777E68"/>
    <w:rsid w:val="007839D6"/>
    <w:rsid w:val="007A64A4"/>
    <w:rsid w:val="007B2B35"/>
    <w:rsid w:val="007C1B06"/>
    <w:rsid w:val="0081723E"/>
    <w:rsid w:val="008506DA"/>
    <w:rsid w:val="008925C1"/>
    <w:rsid w:val="008C6D97"/>
    <w:rsid w:val="008C7EC0"/>
    <w:rsid w:val="008F1948"/>
    <w:rsid w:val="008F5B1A"/>
    <w:rsid w:val="009032FA"/>
    <w:rsid w:val="00907536"/>
    <w:rsid w:val="0095674D"/>
    <w:rsid w:val="00961714"/>
    <w:rsid w:val="009A70B1"/>
    <w:rsid w:val="009B44B0"/>
    <w:rsid w:val="009E04FD"/>
    <w:rsid w:val="009F3D7C"/>
    <w:rsid w:val="00A070F7"/>
    <w:rsid w:val="00A12909"/>
    <w:rsid w:val="00A32283"/>
    <w:rsid w:val="00A33EF5"/>
    <w:rsid w:val="00A40E11"/>
    <w:rsid w:val="00A44E6C"/>
    <w:rsid w:val="00A55DF4"/>
    <w:rsid w:val="00A97A6F"/>
    <w:rsid w:val="00AA045D"/>
    <w:rsid w:val="00AA1BDE"/>
    <w:rsid w:val="00AB1755"/>
    <w:rsid w:val="00AC65F1"/>
    <w:rsid w:val="00AC6DF1"/>
    <w:rsid w:val="00AD1FE5"/>
    <w:rsid w:val="00AE0E24"/>
    <w:rsid w:val="00AE7EBC"/>
    <w:rsid w:val="00B21F6D"/>
    <w:rsid w:val="00B644CB"/>
    <w:rsid w:val="00B64D30"/>
    <w:rsid w:val="00B76681"/>
    <w:rsid w:val="00B800DF"/>
    <w:rsid w:val="00BE0B37"/>
    <w:rsid w:val="00BF1E71"/>
    <w:rsid w:val="00C419A1"/>
    <w:rsid w:val="00C562C2"/>
    <w:rsid w:val="00C65807"/>
    <w:rsid w:val="00C73326"/>
    <w:rsid w:val="00C77D76"/>
    <w:rsid w:val="00C85238"/>
    <w:rsid w:val="00C97F85"/>
    <w:rsid w:val="00CA3A68"/>
    <w:rsid w:val="00CC594A"/>
    <w:rsid w:val="00CD014D"/>
    <w:rsid w:val="00CE7B2E"/>
    <w:rsid w:val="00CF0A33"/>
    <w:rsid w:val="00CF2A31"/>
    <w:rsid w:val="00D127E4"/>
    <w:rsid w:val="00D14BA2"/>
    <w:rsid w:val="00D40288"/>
    <w:rsid w:val="00D8734B"/>
    <w:rsid w:val="00D9664D"/>
    <w:rsid w:val="00DA478F"/>
    <w:rsid w:val="00DA75A0"/>
    <w:rsid w:val="00DB3D77"/>
    <w:rsid w:val="00E2453F"/>
    <w:rsid w:val="00E37817"/>
    <w:rsid w:val="00E52D1B"/>
    <w:rsid w:val="00E57B03"/>
    <w:rsid w:val="00E57E67"/>
    <w:rsid w:val="00E859DE"/>
    <w:rsid w:val="00E87329"/>
    <w:rsid w:val="00E94D0E"/>
    <w:rsid w:val="00E9540A"/>
    <w:rsid w:val="00EB6A1B"/>
    <w:rsid w:val="00F00798"/>
    <w:rsid w:val="00F42F66"/>
    <w:rsid w:val="00F50E5F"/>
    <w:rsid w:val="00F71707"/>
    <w:rsid w:val="00FA292E"/>
    <w:rsid w:val="00FA713E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3F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53F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F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32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1F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3F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53F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F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32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1F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E1F7-856C-4C67-9ADD-22FCB2B6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УТВЪРЖДАВАМ,</vt:lpstr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creator>rector2</dc:creator>
  <cp:lastModifiedBy>Teacher</cp:lastModifiedBy>
  <cp:revision>6</cp:revision>
  <cp:lastPrinted>2020-02-21T09:26:00Z</cp:lastPrinted>
  <dcterms:created xsi:type="dcterms:W3CDTF">2021-02-22T07:54:00Z</dcterms:created>
  <dcterms:modified xsi:type="dcterms:W3CDTF">2021-02-26T14:08:00Z</dcterms:modified>
</cp:coreProperties>
</file>