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bookmarkStart w:id="0" w:name="_GoBack"/>
      <w:bookmarkEnd w:id="0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Министерство образования и науки Украины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Национальная металлургическая академия Украины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(Украинский государственный университет науки и технологий)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 xml:space="preserve">Университет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Аалто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 xml:space="preserve"> Хельсинки /Финляндия/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Технический Университет г. Варна -ТУ Варна /Болгария/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 xml:space="preserve">Университет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Алгарве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Фаро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 xml:space="preserve"> /Португалия/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Национальный авиационный университет /Украина/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Днепровский образовательный центр /Украина/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Харьковский торгово-экономический институт Киевского национального торгово-экономического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0"/>
          <w:szCs w:val="20"/>
          <w:lang w:val="ru-RU" w:eastAsia="ru-RU"/>
        </w:rPr>
        <w:t>университета /Украина/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18"/>
          <w:szCs w:val="18"/>
          <w:lang w:val="ru-RU" w:eastAsia="ru-RU"/>
        </w:rPr>
      </w:pP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IV Международная конференция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  <w:t>Инновационные технологии в науке и образовании.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  <w:t>Европейский опыт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</w:pP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Innovative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technologies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in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science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and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education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.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European</w:t>
      </w:r>
      <w:proofErr w:type="spellEnd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b/>
          <w:color w:val="auto"/>
          <w:sz w:val="24"/>
          <w:szCs w:val="24"/>
          <w:lang w:val="ru-RU" w:eastAsia="ru-RU"/>
        </w:rPr>
        <w:t>experience</w:t>
      </w:r>
      <w:proofErr w:type="spellEnd"/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b/>
          <w:color w:val="auto"/>
          <w:sz w:val="18"/>
          <w:szCs w:val="18"/>
          <w:lang w:val="ru-RU" w:eastAsia="ru-RU"/>
        </w:rPr>
      </w:pP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  <w:t>6-8 декабря 2021 г.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  <w:t xml:space="preserve">Университет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  <w:t>Аалто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  <w:t xml:space="preserve"> Хельсинки</w:t>
      </w:r>
    </w:p>
    <w:p w:rsidR="0049614A" w:rsidRPr="009730C0" w:rsidRDefault="0049614A" w:rsidP="0049614A">
      <w:pPr>
        <w:jc w:val="center"/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4"/>
          <w:szCs w:val="24"/>
          <w:lang w:val="ru-RU" w:eastAsia="ru-RU"/>
        </w:rPr>
        <w:t>ФИНЛЯНДИЯ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18"/>
          <w:szCs w:val="1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Уважаемые коллеги!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Приглашаем Вас принять участие в IV Международной конференции «Инновационные технологии в науке и образовании. Европейский опыт».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Опыт проведения конференции показал ее актуальность и востребованность среди широких кругов педагогов и ученых, которым конференция дает возможность ознакомиться с передовым европейским опытом внедрения инновационных технологий в науке и образовании, обменяться мнениями и опытом с коллегами.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  <w:t>Основные направления работы конференции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b/>
          <w:color w:val="2E74B5" w:themeColor="accent1" w:themeShade="BF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2E74B5" w:themeColor="accent1" w:themeShade="BF"/>
          <w:sz w:val="28"/>
          <w:szCs w:val="28"/>
          <w:lang w:val="ru-RU" w:eastAsia="ru-RU"/>
        </w:rPr>
        <w:t>1. Инновационные технологии в образовании: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основные тенденции развития высшего образования в странах Европейского Союза – национальная специфика, проблемы, приоритеты;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информационные и коммуникационные технологии и их использование в образовании;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современные аспекты развития системы образования;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проблемы и перспективы вхождения вузов Украины в европейское и мировое образовательное пространство;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международное сотрудничество и интеграция в сфере образования;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управление системой образования и самостоятельность университетов;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разработка и реализация профессиональных и образовательных стандартов в условиях двухступенчатой подготовки (бакалавр-магистр);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создание новых программ обучения и усовершенствование методик преподавания в соответствии с международными стандартами;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lastRenderedPageBreak/>
        <w:t>– академическая мобильность преподавателей и студентов в условиях единого европейского образовательного пространства;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формы и методы контроля качества обучения;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роль науки и инноваций в системе управления качеством образования в вузах;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роль гуманитарного образования в развитии ключевых компетенций конкурентоспособного специалиста;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модульные технологии образования в системе непрерывного профессионального образования;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дистанционное обучение: пути и перспективы развития;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публичное управление и администрирование.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b/>
          <w:color w:val="2E74B5" w:themeColor="accent1" w:themeShade="BF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2E74B5" w:themeColor="accent1" w:themeShade="BF"/>
          <w:sz w:val="28"/>
          <w:szCs w:val="28"/>
          <w:lang w:val="ru-RU" w:eastAsia="ru-RU"/>
        </w:rPr>
        <w:t>2. Современные проблемы развития науки и производства: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Инвестиционно-инновационные аспекты развития науки;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прогрессивные технологии в науке и промышленности; обеспечение качества и конкурентоспособности продукции;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современные энергосберегающие технологии в промышленности;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экология и охрана окружающей среды;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перспективные конструкционные материалы и технологии обработки материалов;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современное оборудование для науки и промышленности;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автоматизированное управление технологическими процессами и интегрированные производственные системы;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информатизация и компьютеризация промышленности, программно-технические комплексы и технологии;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современные проблемы экономической теории и актуальные проблемы современной экономики;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вопросы финансового менеджмента и налогообложения;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модификация конкурентоспособной политики в условиях становления инновационной экономики;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– международный опыт и отечественная практика реализации конкурентной политики;</w:t>
      </w:r>
    </w:p>
    <w:p w:rsidR="0049614A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теоретический базис конкурентоспособности предприятий;</w:t>
      </w:r>
    </w:p>
    <w:p w:rsidR="006C0111" w:rsidRPr="009730C0" w:rsidRDefault="0049614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- современные проблемы развития туризма и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гостинично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-ресторанного бизнеса.</w:t>
      </w: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FE41C6">
      <w:pPr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32"/>
          <w:szCs w:val="32"/>
          <w:lang w:val="ru-RU" w:eastAsia="ru-RU"/>
        </w:rPr>
        <w:lastRenderedPageBreak/>
        <w:t>Требования к оформлению материалов для публикации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Материалы могут быть подготовлены на русском или английском языке и направлены в электронном виде эл. почтой не позднее 01 декабря 2021 г. /включительно/. Дополнительно необходимо подготовить (на русском и английском языках) название, аннотацию /2-3 предложения/ и ключевые слова.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2"/>
          <w:szCs w:val="22"/>
          <w:lang w:val="ru-RU" w:eastAsia="ru-RU"/>
        </w:rPr>
      </w:pP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Объем статьи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до 7 страниц текста формата А4 (с учетом иллюстраций). 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Количество авторов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в одной статье не должно превышать 5 человек.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Страницы и поля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: листы А4, сверху, снизу – 25 мм, слева и справа – по 20 мм.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Шрифт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TimesNewRoman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, начертание обычное, размер 14 (название статьи полужирное начертание).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Интервал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: одинарный.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Отступ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: (красная строка) – 1,25 см. Переносы в тексте не допускаются (!).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Формулы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: формат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Microsoft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Equation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3.0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Рисунки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в тексте должны быть четкими, разрешается размещать в статье или предоставлять в виде отдельных файлов формата ТIFF или JPG.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Формат файлов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Word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2007 или RTF.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ВАЖНО! Страницы – не нумеровать, переносов в тексте не делать!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Пример оформления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статьи прилагается.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Статьи направлять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по электронной почте: </w:t>
      </w:r>
      <w:hyperlink r:id="rId6" w:history="1">
        <w:r w:rsidRPr="009730C0">
          <w:rPr>
            <w:rStyle w:val="Hyperlink"/>
            <w:rFonts w:ascii="Calibri" w:eastAsiaTheme="minorHAnsi" w:hAnsi="Calibri" w:cs="Times New Roman"/>
            <w:sz w:val="28"/>
            <w:szCs w:val="28"/>
          </w:rPr>
          <w:t>ncon@ukr.net</w:t>
        </w:r>
      </w:hyperlink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</w:t>
      </w:r>
    </w:p>
    <w:p w:rsidR="00FE41C6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9730C0" w:rsidRPr="009730C0" w:rsidRDefault="009730C0" w:rsidP="00FE41C6">
      <w:pPr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ВАЖНЫЕ ДЕТАЛИ</w:t>
      </w:r>
    </w:p>
    <w:p w:rsidR="009730C0" w:rsidRDefault="009730C0" w:rsidP="009730C0">
      <w:pPr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</w:pPr>
    </w:p>
    <w:p w:rsidR="009730C0" w:rsidRDefault="009730C0" w:rsidP="009730C0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Оплата за публикацию.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</w:t>
      </w:r>
      <w: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Сотрудники ТУ-Варна могут опубликовать тезисы доклада или статью 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u w:val="single"/>
          <w:lang w:val="ru-RU" w:eastAsia="ru-RU"/>
        </w:rPr>
        <w:t>бесплатно</w:t>
      </w:r>
      <w: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. </w:t>
      </w:r>
    </w:p>
    <w:p w:rsidR="009730C0" w:rsidRDefault="009730C0" w:rsidP="009730C0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После выхода сборника из печати авторам будет направлена ссылка (свободный доступ) для скачивания сборника с сайта Национальной металлургической академии Украины.</w:t>
      </w:r>
    </w:p>
    <w:p w:rsidR="009730C0" w:rsidRPr="009730C0" w:rsidRDefault="009730C0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b/>
          <w:i/>
          <w:color w:val="auto"/>
          <w:sz w:val="28"/>
          <w:szCs w:val="28"/>
          <w:lang w:val="ru-RU" w:eastAsia="ru-RU"/>
        </w:rPr>
        <w:t>Оргкомитет оставляет за собой право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: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вносить технические</w:t>
      </w:r>
      <w:r w:rsidR="009730C0"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поправки в тексты докладов;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- отказать в приеме материалов в случаях несоответствия требованиям, в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т.ч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. к формату файлов, тематике, отсутствию сведений об авторах, наличию заимствований из ранее опубликованных материалов, а также некорректному воспроизведению /цитированию/ работ других авторов;</w:t>
      </w:r>
    </w:p>
    <w:p w:rsidR="00FE41C6" w:rsidRPr="009730C0" w:rsidRDefault="00FE41C6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- отказ</w:t>
      </w:r>
      <w:r w:rsidR="009730C0"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ать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в приеме материалов после 01 декабря 2021 г.</w:t>
      </w:r>
    </w:p>
    <w:p w:rsidR="009730C0" w:rsidRPr="009730C0" w:rsidRDefault="009730C0" w:rsidP="00FE41C6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</w:p>
    <w:p w:rsidR="0007438A" w:rsidRPr="009730C0" w:rsidRDefault="0007438A" w:rsidP="0049614A">
      <w:pPr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</w:pPr>
      <w:proofErr w:type="spellStart"/>
      <w:r w:rsidRPr="009730C0">
        <w:rPr>
          <w:rStyle w:val="2Exact"/>
          <w:rFonts w:ascii="Calibri" w:eastAsiaTheme="minorHAnsi" w:hAnsi="Calibri"/>
          <w:color w:val="FF0000"/>
          <w:sz w:val="28"/>
          <w:szCs w:val="28"/>
          <w:lang w:val="ru-RU" w:eastAsia="ru-RU"/>
        </w:rPr>
        <w:t>Dead-line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для докладов – </w:t>
      </w:r>
      <w:r w:rsidRPr="009730C0">
        <w:rPr>
          <w:rStyle w:val="2Exact"/>
          <w:rFonts w:ascii="Calibri" w:eastAsiaTheme="minorHAnsi" w:hAnsi="Calibri"/>
          <w:b/>
          <w:color w:val="auto"/>
          <w:sz w:val="28"/>
          <w:szCs w:val="28"/>
          <w:lang w:val="ru-RU" w:eastAsia="ru-RU"/>
        </w:rPr>
        <w:t>01 декабря 2021</w:t>
      </w: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(включительно).</w:t>
      </w:r>
    </w:p>
    <w:p w:rsidR="0007438A" w:rsidRPr="009730C0" w:rsidRDefault="0007438A" w:rsidP="0049614A">
      <w:pPr>
        <w:rPr>
          <w:sz w:val="28"/>
          <w:szCs w:val="28"/>
        </w:rPr>
      </w:pPr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Направлять на е-мейл: </w:t>
      </w:r>
      <w:hyperlink r:id="rId7" w:history="1">
        <w:r w:rsidRPr="009730C0">
          <w:rPr>
            <w:rStyle w:val="Hyperlink"/>
            <w:rFonts w:ascii="Calibri" w:eastAsiaTheme="minorHAnsi" w:hAnsi="Calibri" w:cs="Times New Roman"/>
            <w:sz w:val="28"/>
            <w:szCs w:val="28"/>
          </w:rPr>
          <w:t>ncon@ukr.net</w:t>
        </w:r>
      </w:hyperlink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 xml:space="preserve"> (Юрий </w:t>
      </w:r>
      <w:proofErr w:type="spellStart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Ступак</w:t>
      </w:r>
      <w:proofErr w:type="spellEnd"/>
      <w:r w:rsidRPr="009730C0">
        <w:rPr>
          <w:rStyle w:val="2Exact"/>
          <w:rFonts w:ascii="Calibri" w:eastAsiaTheme="minorHAnsi" w:hAnsi="Calibri"/>
          <w:color w:val="auto"/>
          <w:sz w:val="28"/>
          <w:szCs w:val="28"/>
          <w:lang w:val="ru-RU" w:eastAsia="ru-RU"/>
        </w:rPr>
        <w:t>, секретарь конференции)</w:t>
      </w:r>
    </w:p>
    <w:sectPr w:rsidR="0007438A" w:rsidRPr="0097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2E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A"/>
    <w:rsid w:val="0007438A"/>
    <w:rsid w:val="0049614A"/>
    <w:rsid w:val="004C2525"/>
    <w:rsid w:val="004D7653"/>
    <w:rsid w:val="00683657"/>
    <w:rsid w:val="006C0111"/>
    <w:rsid w:val="009730C0"/>
    <w:rsid w:val="00DC05BF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4A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49614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9614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9614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49614A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9614A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49614A"/>
    <w:pPr>
      <w:shd w:val="clear" w:color="auto" w:fill="FFFFFF"/>
      <w:spacing w:line="230" w:lineRule="exact"/>
      <w:ind w:hanging="240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49614A"/>
    <w:pPr>
      <w:shd w:val="clear" w:color="auto" w:fill="FFFFFF"/>
      <w:spacing w:after="120"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 (2)1"/>
    <w:basedOn w:val="Normal"/>
    <w:link w:val="2"/>
    <w:uiPriority w:val="99"/>
    <w:rsid w:val="0049614A"/>
    <w:pPr>
      <w:shd w:val="clear" w:color="auto" w:fill="FFFFFF"/>
      <w:spacing w:before="120" w:line="254" w:lineRule="exact"/>
      <w:ind w:hanging="220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49614A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9614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49614A"/>
    <w:pPr>
      <w:shd w:val="clear" w:color="auto" w:fill="FFFFFF"/>
      <w:spacing w:line="538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4961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49614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49614A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Normal"/>
    <w:link w:val="13Exact"/>
    <w:uiPriority w:val="99"/>
    <w:rsid w:val="0049614A"/>
    <w:pPr>
      <w:shd w:val="clear" w:color="auto" w:fill="FFFFFF"/>
      <w:spacing w:before="420" w:line="240" w:lineRule="atLeast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49614A"/>
    <w:rPr>
      <w:rFonts w:cs="Times New Roman"/>
      <w:b/>
      <w:bCs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49614A"/>
    <w:pPr>
      <w:shd w:val="clear" w:color="auto" w:fill="FFFFFF"/>
      <w:spacing w:line="562" w:lineRule="exact"/>
    </w:pPr>
    <w:rPr>
      <w:rFonts w:asciiTheme="minorHAnsi" w:eastAsiaTheme="minorHAnsi" w:hAnsiTheme="minorHAnsi" w:cs="Times New Roman"/>
      <w:b/>
      <w:bCs/>
      <w:color w:val="auto"/>
      <w:sz w:val="22"/>
      <w:szCs w:val="22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unhideWhenUsed/>
    <w:rsid w:val="00074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4A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49614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9614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9614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49614A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9614A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49614A"/>
    <w:pPr>
      <w:shd w:val="clear" w:color="auto" w:fill="FFFFFF"/>
      <w:spacing w:line="230" w:lineRule="exact"/>
      <w:ind w:hanging="240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49614A"/>
    <w:pPr>
      <w:shd w:val="clear" w:color="auto" w:fill="FFFFFF"/>
      <w:spacing w:after="120"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 (2)1"/>
    <w:basedOn w:val="Normal"/>
    <w:link w:val="2"/>
    <w:uiPriority w:val="99"/>
    <w:rsid w:val="0049614A"/>
    <w:pPr>
      <w:shd w:val="clear" w:color="auto" w:fill="FFFFFF"/>
      <w:spacing w:before="120" w:line="254" w:lineRule="exact"/>
      <w:ind w:hanging="220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49614A"/>
    <w:rPr>
      <w:rFonts w:ascii="Times New Roman" w:hAnsi="Times New Roman" w:cs="Times New Roman"/>
      <w:sz w:val="19"/>
      <w:szCs w:val="19"/>
      <w:u w:val="none"/>
      <w:lang w:val="uk-UA" w:eastAsia="uk-UA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9614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49614A"/>
    <w:pPr>
      <w:shd w:val="clear" w:color="auto" w:fill="FFFFFF"/>
      <w:spacing w:line="538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49614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">
    <w:name w:val="Основной текст (9)"/>
    <w:basedOn w:val="Normal"/>
    <w:link w:val="9Exact"/>
    <w:uiPriority w:val="99"/>
    <w:rsid w:val="0049614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49614A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Normal"/>
    <w:link w:val="13Exact"/>
    <w:uiPriority w:val="99"/>
    <w:rsid w:val="0049614A"/>
    <w:pPr>
      <w:shd w:val="clear" w:color="auto" w:fill="FFFFFF"/>
      <w:spacing w:before="420" w:line="240" w:lineRule="atLeast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49614A"/>
    <w:rPr>
      <w:rFonts w:cs="Times New Roman"/>
      <w:b/>
      <w:bCs/>
      <w:shd w:val="clear" w:color="auto" w:fill="FFFFFF"/>
    </w:rPr>
  </w:style>
  <w:style w:type="paragraph" w:customStyle="1" w:styleId="10">
    <w:name w:val="Основной текст (10)"/>
    <w:basedOn w:val="Normal"/>
    <w:link w:val="10Exact"/>
    <w:uiPriority w:val="99"/>
    <w:rsid w:val="0049614A"/>
    <w:pPr>
      <w:shd w:val="clear" w:color="auto" w:fill="FFFFFF"/>
      <w:spacing w:line="562" w:lineRule="exact"/>
    </w:pPr>
    <w:rPr>
      <w:rFonts w:asciiTheme="minorHAnsi" w:eastAsiaTheme="minorHAnsi" w:hAnsiTheme="minorHAnsi" w:cs="Times New Roman"/>
      <w:b/>
      <w:bCs/>
      <w:color w:val="auto"/>
      <w:sz w:val="22"/>
      <w:szCs w:val="22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unhideWhenUsed/>
    <w:rsid w:val="00074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co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Teacher</cp:lastModifiedBy>
  <cp:revision>2</cp:revision>
  <dcterms:created xsi:type="dcterms:W3CDTF">2021-11-19T14:09:00Z</dcterms:created>
  <dcterms:modified xsi:type="dcterms:W3CDTF">2021-11-19T14:09:00Z</dcterms:modified>
</cp:coreProperties>
</file>